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29740C" w:rsidRDefault="00351D49" w:rsidP="004F403D">
      <w:pPr>
        <w:pStyle w:val="Corpsdetexte"/>
        <w:jc w:val="center"/>
        <w:rPr>
          <w:rFonts w:ascii="Times New Roman"/>
          <w:noProof/>
          <w:lang w:val="fr-FR"/>
        </w:rPr>
        <w:sectPr w:rsidR="00351D49" w:rsidRPr="0029740C" w:rsidSect="000459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:rsidR="000924D0" w:rsidRPr="0029740C" w:rsidRDefault="000924D0" w:rsidP="00CD5E65">
      <w:pPr>
        <w:pStyle w:val="Corpsdetexte"/>
        <w:ind w:left="128"/>
        <w:jc w:val="center"/>
        <w:rPr>
          <w:rFonts w:ascii="Times New Roman"/>
          <w:noProof/>
          <w:lang w:val="fr-FR"/>
        </w:rPr>
      </w:pPr>
    </w:p>
    <w:p w:rsidR="0079276E" w:rsidRPr="0029740C" w:rsidRDefault="0079276E" w:rsidP="00CD5E65">
      <w:pPr>
        <w:pStyle w:val="Corpsdetexte"/>
        <w:ind w:left="128"/>
        <w:jc w:val="center"/>
        <w:rPr>
          <w:rFonts w:ascii="Times New Roman"/>
          <w:noProof/>
          <w:lang w:val="fr-FR"/>
        </w:rPr>
      </w:pPr>
    </w:p>
    <w:p w:rsidR="00965B19" w:rsidRPr="0029740C" w:rsidRDefault="00965B19" w:rsidP="00076B31">
      <w:pPr>
        <w:pStyle w:val="Titre1"/>
      </w:pPr>
    </w:p>
    <w:p w:rsidR="00965B19" w:rsidRPr="0029740C" w:rsidRDefault="00965B19" w:rsidP="00076B31">
      <w:pPr>
        <w:pStyle w:val="Titre1"/>
      </w:pPr>
    </w:p>
    <w:p w:rsidR="00CD5E65" w:rsidRPr="0029740C" w:rsidRDefault="00965B19" w:rsidP="00076B31">
      <w:pPr>
        <w:pStyle w:val="Titre1"/>
      </w:pPr>
      <w:r w:rsidRPr="0029740C">
        <w:t>COMMUNIQUE DE PRESSE</w:t>
      </w:r>
    </w:p>
    <w:p w:rsidR="000924D0" w:rsidRPr="0029740C" w:rsidRDefault="000924D0">
      <w:pPr>
        <w:pStyle w:val="Corpsdetexte"/>
        <w:rPr>
          <w:b/>
          <w:lang w:val="fr-FR"/>
        </w:rPr>
      </w:pPr>
    </w:p>
    <w:p w:rsidR="000924D0" w:rsidRPr="0029740C" w:rsidRDefault="000924D0">
      <w:pPr>
        <w:pStyle w:val="Corpsdetexte"/>
        <w:rPr>
          <w:b/>
          <w:lang w:val="fr-FR"/>
        </w:rPr>
      </w:pPr>
    </w:p>
    <w:p w:rsidR="00351D49" w:rsidRPr="0029740C" w:rsidRDefault="00E5641A" w:rsidP="00747A49">
      <w:pPr>
        <w:pStyle w:val="Date20"/>
      </w:pPr>
      <w:r w:rsidRPr="0029740C">
        <w:t xml:space="preserve">Paris, </w:t>
      </w:r>
      <w:r w:rsidR="00BC6E03" w:rsidRPr="0029740C">
        <w:t xml:space="preserve">le </w:t>
      </w:r>
      <w:r w:rsidR="00C151F4" w:rsidRPr="0029740C">
        <w:t>1</w:t>
      </w:r>
      <w:r w:rsidR="00C151F4">
        <w:t>6</w:t>
      </w:r>
      <w:r w:rsidR="00C151F4" w:rsidRPr="0029740C">
        <w:t xml:space="preserve"> </w:t>
      </w:r>
      <w:r w:rsidR="00BC6E03" w:rsidRPr="0029740C">
        <w:t>juin 2021</w:t>
      </w:r>
    </w:p>
    <w:p w:rsidR="007816B9" w:rsidRDefault="007816B9" w:rsidP="0029740C">
      <w:pPr>
        <w:jc w:val="both"/>
        <w:rPr>
          <w:b/>
          <w:bCs/>
          <w:sz w:val="24"/>
          <w:szCs w:val="24"/>
          <w:lang w:val="fr-FR"/>
        </w:rPr>
      </w:pPr>
    </w:p>
    <w:p w:rsidR="007816B9" w:rsidRPr="00A87724" w:rsidRDefault="00A87724" w:rsidP="00A87724">
      <w:pPr>
        <w:tabs>
          <w:tab w:val="left" w:pos="3514"/>
        </w:tabs>
        <w:jc w:val="both"/>
        <w:rPr>
          <w:bCs/>
          <w:sz w:val="24"/>
          <w:szCs w:val="24"/>
          <w:lang w:val="fr-FR"/>
        </w:rPr>
      </w:pPr>
      <w:r w:rsidRPr="00A87724">
        <w:rPr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4060333" cy="609600"/>
            <wp:effectExtent l="0" t="0" r="0" b="0"/>
            <wp:docPr id="4" name="Image 4" descr="C:\Users\anne-catherine.ferra\Desktop\Identité visuelle et gabarits\Logos\Logos Stratégie pauvreté Marianne - FrSolidaire 2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catherine.ferra\Desktop\Identité visuelle et gabarits\Logos\Logos Stratégie pauvreté Marianne - FrSolidaire 2lign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57" cy="62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24" w:rsidRDefault="00A87724" w:rsidP="00A87724">
      <w:pPr>
        <w:jc w:val="center"/>
        <w:rPr>
          <w:b/>
          <w:bCs/>
          <w:sz w:val="24"/>
          <w:szCs w:val="24"/>
          <w:lang w:val="fr-FR"/>
        </w:rPr>
      </w:pPr>
    </w:p>
    <w:p w:rsidR="00A87724" w:rsidRDefault="0029740C" w:rsidP="00A87724">
      <w:pPr>
        <w:jc w:val="center"/>
        <w:rPr>
          <w:b/>
          <w:bCs/>
          <w:sz w:val="24"/>
          <w:szCs w:val="24"/>
          <w:lang w:val="fr-FR"/>
        </w:rPr>
      </w:pPr>
      <w:r w:rsidRPr="0029740C">
        <w:rPr>
          <w:b/>
          <w:bCs/>
          <w:sz w:val="24"/>
          <w:szCs w:val="24"/>
          <w:lang w:val="fr-FR"/>
        </w:rPr>
        <w:t>Lancement d’un appel à mani</w:t>
      </w:r>
      <w:r w:rsidR="00A87724">
        <w:rPr>
          <w:b/>
          <w:bCs/>
          <w:sz w:val="24"/>
          <w:szCs w:val="24"/>
          <w:lang w:val="fr-FR"/>
        </w:rPr>
        <w:t>festation pour la labellisation</w:t>
      </w:r>
    </w:p>
    <w:p w:rsidR="0029740C" w:rsidRDefault="0029740C" w:rsidP="00A87724">
      <w:pPr>
        <w:jc w:val="center"/>
        <w:rPr>
          <w:b/>
          <w:bCs/>
          <w:sz w:val="24"/>
          <w:szCs w:val="24"/>
          <w:lang w:val="fr-FR"/>
        </w:rPr>
      </w:pPr>
      <w:proofErr w:type="gramStart"/>
      <w:r w:rsidRPr="0029740C">
        <w:rPr>
          <w:b/>
          <w:bCs/>
          <w:sz w:val="24"/>
          <w:szCs w:val="24"/>
          <w:lang w:val="fr-FR"/>
        </w:rPr>
        <w:t>de</w:t>
      </w:r>
      <w:proofErr w:type="gramEnd"/>
      <w:r w:rsidRPr="0029740C">
        <w:rPr>
          <w:b/>
          <w:bCs/>
          <w:sz w:val="24"/>
          <w:szCs w:val="24"/>
          <w:lang w:val="fr-FR"/>
        </w:rPr>
        <w:t xml:space="preserve"> 100 nouveaux Points conseil budget (PCB) en 2021</w:t>
      </w:r>
    </w:p>
    <w:p w:rsidR="00DC0017" w:rsidRDefault="00DC0017" w:rsidP="00A87724">
      <w:pPr>
        <w:jc w:val="center"/>
        <w:rPr>
          <w:b/>
          <w:bCs/>
          <w:sz w:val="24"/>
          <w:szCs w:val="24"/>
          <w:lang w:val="fr-FR"/>
        </w:rPr>
      </w:pPr>
    </w:p>
    <w:p w:rsidR="00DC0017" w:rsidRPr="0029740C" w:rsidRDefault="00DC0017" w:rsidP="0029740C">
      <w:pPr>
        <w:jc w:val="both"/>
        <w:rPr>
          <w:b/>
          <w:bCs/>
          <w:sz w:val="24"/>
          <w:szCs w:val="24"/>
          <w:lang w:val="fr-FR"/>
        </w:rPr>
      </w:pPr>
    </w:p>
    <w:p w:rsidR="00BC6E03" w:rsidRPr="0029740C" w:rsidRDefault="0029740C" w:rsidP="0029740C">
      <w:pPr>
        <w:pStyle w:val="Corpsdetexte"/>
        <w:ind w:right="59"/>
        <w:jc w:val="both"/>
        <w:rPr>
          <w:b/>
          <w:bCs/>
          <w:lang w:val="fr-FR"/>
        </w:rPr>
      </w:pPr>
      <w:r w:rsidRPr="0029740C">
        <w:rPr>
          <w:b/>
          <w:bCs/>
          <w:lang w:val="fr-FR"/>
        </w:rPr>
        <w:t>L’Etat lance un appel à manifestation d’intérêt pour la labellisation de 100 nouveaux Points conseil budget (PCB), ouvert du 15 juin au 30 juillet 2021 à minuit (heure de France hexagonale).</w:t>
      </w:r>
    </w:p>
    <w:p w:rsidR="0029740C" w:rsidRPr="0029740C" w:rsidRDefault="0029740C" w:rsidP="0029740C">
      <w:pPr>
        <w:pStyle w:val="Corpsdetexte"/>
        <w:ind w:right="59"/>
        <w:jc w:val="both"/>
        <w:rPr>
          <w:b/>
          <w:bCs/>
          <w:lang w:val="fr-FR"/>
        </w:rPr>
      </w:pPr>
    </w:p>
    <w:p w:rsidR="0029740C" w:rsidRPr="0029740C" w:rsidRDefault="0029740C" w:rsidP="002974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Mesure </w:t>
      </w:r>
      <w:r w:rsidR="00F45A1B">
        <w:rPr>
          <w:rFonts w:asciiTheme="minorHAnsi" w:hAnsiTheme="minorHAnsi" w:cstheme="minorHAnsi"/>
          <w:color w:val="000000" w:themeColor="text1"/>
          <w:sz w:val="20"/>
          <w:szCs w:val="20"/>
        </w:rPr>
        <w:t>emblématique</w:t>
      </w:r>
      <w:r w:rsidR="00F45A1B"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 la stratégie nationale de prévention et de lutte contre la pauvreté, les Points conseil budget accompagnent les personnes rencontrant des difficultés budgétaires, afin de prévenir le </w:t>
      </w:r>
      <w:proofErr w:type="spellStart"/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>malendettement</w:t>
      </w:r>
      <w:proofErr w:type="spellEnd"/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et le surendettement. </w:t>
      </w:r>
    </w:p>
    <w:p w:rsidR="0029740C" w:rsidRPr="0029740C" w:rsidRDefault="0029740C" w:rsidP="002974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9740C" w:rsidRPr="0029740C" w:rsidRDefault="0029740C" w:rsidP="002974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740C">
        <w:rPr>
          <w:rFonts w:asciiTheme="minorHAnsi" w:hAnsiTheme="minorHAnsi" w:cstheme="minorHAnsi"/>
          <w:sz w:val="20"/>
          <w:szCs w:val="20"/>
        </w:rPr>
        <w:t xml:space="preserve">Ces 100 nouveaux PCB viennent s’ajouter aux 400 PCB </w:t>
      </w:r>
      <w:r w:rsidR="009B085A">
        <w:rPr>
          <w:rFonts w:asciiTheme="minorHAnsi" w:hAnsiTheme="minorHAnsi" w:cstheme="minorHAnsi"/>
          <w:sz w:val="20"/>
          <w:szCs w:val="20"/>
        </w:rPr>
        <w:t xml:space="preserve">installés en </w:t>
      </w:r>
      <w:r w:rsidR="00C151F4">
        <w:rPr>
          <w:rFonts w:asciiTheme="minorHAnsi" w:hAnsiTheme="minorHAnsi" w:cstheme="minorHAnsi"/>
          <w:sz w:val="20"/>
          <w:szCs w:val="20"/>
        </w:rPr>
        <w:t>2019</w:t>
      </w:r>
      <w:r w:rsidR="00403CC2">
        <w:rPr>
          <w:rFonts w:asciiTheme="minorHAnsi" w:hAnsiTheme="minorHAnsi" w:cstheme="minorHAnsi"/>
          <w:sz w:val="20"/>
          <w:szCs w:val="20"/>
        </w:rPr>
        <w:t xml:space="preserve"> et 2020</w:t>
      </w:r>
      <w:r w:rsidRPr="0029740C">
        <w:rPr>
          <w:rFonts w:asciiTheme="minorHAnsi" w:hAnsiTheme="minorHAnsi" w:cstheme="minorHAnsi"/>
          <w:sz w:val="20"/>
          <w:szCs w:val="20"/>
        </w:rPr>
        <w:t xml:space="preserve">. Ce nouveau déploiement en 2021, de structures labellisées, </w:t>
      </w:r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>soutenues à hauteur de </w:t>
      </w:r>
      <w:r w:rsidRPr="0029740C">
        <w:rPr>
          <w:rStyle w:val="lev"/>
          <w:rFonts w:asciiTheme="minorHAnsi" w:hAnsiTheme="minorHAnsi" w:cstheme="minorHAnsi"/>
          <w:color w:val="000000" w:themeColor="text1"/>
          <w:sz w:val="20"/>
          <w:szCs w:val="20"/>
        </w:rPr>
        <w:t>15 000 € par an par l’Etat,</w:t>
      </w:r>
      <w:r w:rsidRPr="0029740C">
        <w:rPr>
          <w:rFonts w:asciiTheme="minorHAnsi" w:hAnsiTheme="minorHAnsi" w:cstheme="minorHAnsi"/>
          <w:sz w:val="20"/>
          <w:szCs w:val="20"/>
        </w:rPr>
        <w:t xml:space="preserve"> va permettre d’augmenter le nombre de personnes accompagnées, en particulier celles fragilisées par la crise sanitaire mais également de garantir un maillage complet du territoire.</w:t>
      </w:r>
    </w:p>
    <w:p w:rsidR="0029740C" w:rsidRPr="0029740C" w:rsidRDefault="0029740C" w:rsidP="002974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9740C" w:rsidRPr="0029740C" w:rsidRDefault="0029740C" w:rsidP="002974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L’appui des PCB en matière de gestion budgétaire permet d’agir en prévention et de lutter en amont contre les risques de surendettement ou de </w:t>
      </w:r>
      <w:proofErr w:type="spellStart"/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>malendettement</w:t>
      </w:r>
      <w:proofErr w:type="spellEnd"/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29740C">
        <w:rPr>
          <w:rFonts w:asciiTheme="minorHAnsi" w:hAnsiTheme="minorHAnsi" w:cstheme="minorHAnsi"/>
          <w:b/>
          <w:sz w:val="20"/>
          <w:szCs w:val="20"/>
        </w:rPr>
        <w:t>Les personnes accompagnées témoignent d’une véritable amélioration de leur situation financière grâce à l’appui des PCB</w:t>
      </w:r>
      <w:r w:rsidRPr="002974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>et de bénéficies sur leur bien-être et leur confiance en soi, comme l’illustre</w:t>
      </w:r>
      <w:r w:rsidR="00D41A82">
        <w:rPr>
          <w:rFonts w:asciiTheme="minorHAnsi" w:hAnsiTheme="minorHAnsi" w:cstheme="minorHAnsi"/>
          <w:color w:val="000000" w:themeColor="text1"/>
          <w:sz w:val="20"/>
          <w:szCs w:val="20"/>
        </w:rPr>
        <w:t>nt</w:t>
      </w:r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les témoignages suivants : </w:t>
      </w:r>
    </w:p>
    <w:p w:rsidR="0029740C" w:rsidRPr="0029740C" w:rsidRDefault="0029740C" w:rsidP="002974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9740C" w:rsidRPr="0029740C" w:rsidRDefault="0029740C" w:rsidP="0029740C">
      <w:pPr>
        <w:jc w:val="center"/>
        <w:rPr>
          <w:lang w:val="fr-FR"/>
        </w:rPr>
      </w:pPr>
      <w:r w:rsidRPr="0029740C">
        <w:rPr>
          <w:i/>
          <w:iCs/>
          <w:lang w:val="fr-FR"/>
        </w:rPr>
        <w:t>« Je suis tout à fait satisfaite de l’accompagnement avec Madame X, ça a été un grand soulagement moralement, une grande aide, je me suis vraiment sentie soutenue ».</w:t>
      </w:r>
    </w:p>
    <w:p w:rsidR="0029740C" w:rsidRPr="0029740C" w:rsidRDefault="0029740C" w:rsidP="0029740C">
      <w:pPr>
        <w:jc w:val="center"/>
        <w:rPr>
          <w:i/>
          <w:iCs/>
          <w:lang w:val="fr-FR"/>
        </w:rPr>
      </w:pPr>
    </w:p>
    <w:p w:rsidR="0029740C" w:rsidRPr="0029740C" w:rsidRDefault="0029740C" w:rsidP="0029740C">
      <w:pPr>
        <w:jc w:val="center"/>
        <w:rPr>
          <w:rFonts w:ascii="Calibri" w:hAnsi="Calibri" w:cs="Calibri"/>
          <w:i/>
          <w:iCs/>
          <w:lang w:val="fr-FR"/>
        </w:rPr>
      </w:pPr>
      <w:r w:rsidRPr="0029740C">
        <w:rPr>
          <w:i/>
          <w:iCs/>
          <w:lang w:val="fr-FR"/>
        </w:rPr>
        <w:t>« Sans mon conseiller je ne sais pas comment j’aurais fait, l’accompagnement m’a vraiment apporté un soutien psychologique et moral important, la personne m’accompagne dans les démarches ».</w:t>
      </w:r>
    </w:p>
    <w:p w:rsidR="0029740C" w:rsidRPr="0029740C" w:rsidRDefault="0029740C" w:rsidP="0029740C">
      <w:pPr>
        <w:jc w:val="center"/>
        <w:rPr>
          <w:i/>
          <w:iCs/>
          <w:lang w:val="fr-FR"/>
        </w:rPr>
      </w:pPr>
    </w:p>
    <w:p w:rsidR="0029740C" w:rsidRPr="0029740C" w:rsidRDefault="0029740C" w:rsidP="0029740C">
      <w:pPr>
        <w:jc w:val="center"/>
        <w:rPr>
          <w:lang w:val="fr-FR" w:eastAsia="fr-FR"/>
        </w:rPr>
      </w:pPr>
      <w:r w:rsidRPr="0029740C">
        <w:rPr>
          <w:i/>
          <w:iCs/>
          <w:lang w:val="fr-FR"/>
        </w:rPr>
        <w:t>« Je me suis vraiment sentie accompagnée pour réaliser mon dossier de surendettement, heureusement que Madame X. était là, je l’ai fait avec elle et ça m’a motivée ».</w:t>
      </w:r>
    </w:p>
    <w:p w:rsidR="0029740C" w:rsidRPr="0029740C" w:rsidRDefault="0029740C" w:rsidP="002974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9740C" w:rsidRPr="0029740C" w:rsidRDefault="0029740C" w:rsidP="0029740C">
      <w:pPr>
        <w:pStyle w:val="Titre3"/>
        <w:spacing w:before="0" w:after="120" w:line="240" w:lineRule="atLeast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fr-FR"/>
        </w:rPr>
      </w:pPr>
      <w:r w:rsidRPr="0029740C">
        <w:rPr>
          <w:rFonts w:asciiTheme="minorHAnsi" w:hAnsiTheme="minorHAnsi" w:cstheme="minorHAnsi"/>
          <w:b/>
          <w:color w:val="000000" w:themeColor="text1"/>
          <w:sz w:val="20"/>
          <w:szCs w:val="20"/>
          <w:lang w:val="fr-FR"/>
        </w:rPr>
        <w:t>Qu’est-ce qu’un Point conseil budget ?</w:t>
      </w:r>
    </w:p>
    <w:p w:rsidR="00C151F4" w:rsidRPr="0029740C" w:rsidRDefault="0029740C" w:rsidP="00C151F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Les Points </w:t>
      </w:r>
      <w:r w:rsidRPr="00C151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conseil budget (PCB) proposent un accompagnement budgétaire gratuit et inconditionnel aux ménages en situation de fragilité financière. Ils visent ainsi à prévenir le surendettement et favoriser l’éducation budgétaire. Dans ce cadre, les PCB accompagnent les personnes dans leur gestion budgétaire mensuelle et dans leur accès aux droits. </w:t>
      </w:r>
      <w:r w:rsidR="00C151F4" w:rsidRPr="005578AE">
        <w:rPr>
          <w:rStyle w:val="lev"/>
          <w:rFonts w:asciiTheme="minorHAnsi" w:hAnsiTheme="minorHAnsi" w:cstheme="minorHAnsi"/>
          <w:b w:val="0"/>
          <w:color w:val="000000" w:themeColor="text1"/>
          <w:sz w:val="20"/>
          <w:szCs w:val="20"/>
        </w:rPr>
        <w:t>Certains PCB interviennent également auprès des créanciers locaux.</w:t>
      </w:r>
      <w:r w:rsidR="00C151F4" w:rsidRPr="00C151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Ils s’inscrivent dans</w:t>
      </w:r>
      <w:r w:rsidR="00C151F4" w:rsidRPr="005578AE">
        <w:rPr>
          <w:rStyle w:val="lev"/>
          <w:rFonts w:asciiTheme="minorHAnsi" w:hAnsiTheme="minorHAnsi" w:cstheme="minorHAnsi"/>
          <w:b w:val="0"/>
          <w:color w:val="000000" w:themeColor="text1"/>
          <w:sz w:val="20"/>
          <w:szCs w:val="20"/>
        </w:rPr>
        <w:t> le maillage territorial </w:t>
      </w:r>
      <w:r w:rsidR="00C151F4" w:rsidRPr="00C151F4">
        <w:rPr>
          <w:rFonts w:asciiTheme="minorHAnsi" w:hAnsiTheme="minorHAnsi" w:cstheme="minorHAnsi"/>
          <w:color w:val="000000" w:themeColor="text1"/>
          <w:sz w:val="20"/>
          <w:szCs w:val="20"/>
        </w:rPr>
        <w:t>pour l’accès aux droits et l’inclusion bancaire.</w:t>
      </w:r>
    </w:p>
    <w:p w:rsidR="0029740C" w:rsidRPr="0029740C" w:rsidRDefault="0029740C" w:rsidP="0029740C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9740C" w:rsidRPr="0029740C" w:rsidRDefault="0029740C" w:rsidP="0029740C">
      <w:pPr>
        <w:pStyle w:val="Titre3"/>
        <w:spacing w:before="0" w:after="120" w:line="240" w:lineRule="atLeast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fr-FR"/>
        </w:rPr>
      </w:pPr>
      <w:r w:rsidRPr="0029740C">
        <w:rPr>
          <w:rFonts w:asciiTheme="minorHAnsi" w:hAnsiTheme="minorHAnsi" w:cstheme="minorHAnsi"/>
          <w:b/>
          <w:color w:val="000000" w:themeColor="text1"/>
          <w:sz w:val="20"/>
          <w:szCs w:val="20"/>
          <w:lang w:val="fr-FR"/>
        </w:rPr>
        <w:t>Le label Point conseil budget</w:t>
      </w:r>
    </w:p>
    <w:p w:rsidR="0029740C" w:rsidRDefault="0029740C" w:rsidP="0029740C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740C">
        <w:rPr>
          <w:rFonts w:asciiTheme="minorHAnsi" w:hAnsiTheme="minorHAnsi" w:cstheme="minorHAnsi"/>
          <w:color w:val="000000" w:themeColor="text1"/>
          <w:sz w:val="20"/>
          <w:szCs w:val="20"/>
        </w:rPr>
        <w:t>Pour être labellisé, le PCB doit mettre en œuvre les actions suivantes : </w:t>
      </w:r>
      <w:r w:rsidRPr="0029740C">
        <w:rPr>
          <w:rStyle w:val="lev"/>
          <w:rFonts w:asciiTheme="minorHAnsi" w:hAnsiTheme="minorHAnsi" w:cstheme="minorHAnsi"/>
          <w:color w:val="000000" w:themeColor="text1"/>
          <w:sz w:val="20"/>
          <w:szCs w:val="20"/>
        </w:rPr>
        <w:t>accueil, écoute et information, accompagnement budgétaire et accompagnement à la procédure de surendettement.</w:t>
      </w:r>
    </w:p>
    <w:p w:rsidR="0029740C" w:rsidRPr="0029740C" w:rsidRDefault="0029740C" w:rsidP="0029740C">
      <w:pPr>
        <w:jc w:val="both"/>
        <w:rPr>
          <w:rStyle w:val="lev"/>
          <w:rFonts w:cstheme="minorHAnsi"/>
          <w:b w:val="0"/>
          <w:color w:val="000000" w:themeColor="text1"/>
          <w:lang w:val="fr-FR"/>
        </w:rPr>
      </w:pPr>
      <w:r w:rsidRPr="0029740C">
        <w:rPr>
          <w:rStyle w:val="lev"/>
          <w:rFonts w:cstheme="minorHAnsi"/>
          <w:color w:val="000000" w:themeColor="text1"/>
          <w:lang w:val="fr-FR"/>
        </w:rPr>
        <w:t xml:space="preserve">Le détail de la procédure de candidature est précisé dans le cahier des charges du label. Les dossiers sont à adresser aux services régionaux de l’Etat chargés de la cohésion sociale. Les coordonnées sont précisées sur leurs sites institutionnels ainsi que sur : </w:t>
      </w:r>
      <w:hyperlink r:id="rId15" w:history="1">
        <w:r w:rsidRPr="0029740C">
          <w:rPr>
            <w:rStyle w:val="Lienhypertexte"/>
            <w:rFonts w:cstheme="minorHAnsi"/>
            <w:b/>
            <w:color w:val="000000" w:themeColor="text1"/>
            <w:lang w:val="fr-FR"/>
          </w:rPr>
          <w:t>https://solidarites-sante.gouv.fr/affaires-sociales/lutte-contre-l-exclusion/PCB</w:t>
        </w:r>
      </w:hyperlink>
      <w:r w:rsidRPr="0029740C">
        <w:rPr>
          <w:rFonts w:cstheme="minorHAnsi"/>
          <w:b/>
          <w:color w:val="000000" w:themeColor="text1"/>
          <w:lang w:val="fr-FR"/>
        </w:rPr>
        <w:t xml:space="preserve"> </w:t>
      </w:r>
    </w:p>
    <w:p w:rsidR="0029740C" w:rsidRPr="0029740C" w:rsidRDefault="0029740C" w:rsidP="0029740C">
      <w:pPr>
        <w:jc w:val="both"/>
        <w:rPr>
          <w:rStyle w:val="lev"/>
          <w:rFonts w:cstheme="minorHAnsi"/>
          <w:b w:val="0"/>
          <w:color w:val="000000" w:themeColor="text1"/>
          <w:lang w:val="fr-FR"/>
        </w:rPr>
      </w:pPr>
    </w:p>
    <w:p w:rsidR="0029740C" w:rsidRPr="0029740C" w:rsidRDefault="0029740C" w:rsidP="0029740C">
      <w:pPr>
        <w:jc w:val="both"/>
        <w:rPr>
          <w:rStyle w:val="lev"/>
          <w:rFonts w:cstheme="minorHAnsi"/>
          <w:b w:val="0"/>
          <w:color w:val="000000" w:themeColor="text1"/>
          <w:lang w:val="fr-FR"/>
        </w:rPr>
      </w:pPr>
      <w:r w:rsidRPr="0029740C">
        <w:rPr>
          <w:rStyle w:val="lev"/>
          <w:rFonts w:cstheme="minorHAnsi"/>
          <w:color w:val="000000" w:themeColor="text1"/>
          <w:lang w:val="fr-FR"/>
        </w:rPr>
        <w:t xml:space="preserve">Seules les structures sélectionnées pourront utiliser le label Point conseil budget. </w:t>
      </w:r>
    </w:p>
    <w:p w:rsidR="0029740C" w:rsidRPr="0029740C" w:rsidRDefault="0029740C" w:rsidP="0029740C">
      <w:pPr>
        <w:jc w:val="both"/>
        <w:rPr>
          <w:rStyle w:val="lev"/>
          <w:rFonts w:cstheme="minorHAnsi"/>
          <w:color w:val="000000" w:themeColor="text1"/>
          <w:lang w:val="fr-FR"/>
        </w:rPr>
      </w:pPr>
    </w:p>
    <w:p w:rsidR="0029740C" w:rsidRPr="0029740C" w:rsidRDefault="0029740C" w:rsidP="0029740C">
      <w:pPr>
        <w:jc w:val="center"/>
        <w:rPr>
          <w:rFonts w:cstheme="minorHAnsi"/>
          <w:color w:val="000000" w:themeColor="text1"/>
          <w:lang w:val="fr-FR"/>
        </w:rPr>
      </w:pPr>
      <w:r w:rsidRPr="0029740C">
        <w:rPr>
          <w:rStyle w:val="lev"/>
          <w:rFonts w:cstheme="minorHAnsi"/>
          <w:color w:val="000000" w:themeColor="text1"/>
          <w:lang w:val="fr-FR"/>
        </w:rPr>
        <w:t>Pour plus de renseignements et pour consulter la Boîte à outils PCB,</w:t>
      </w:r>
      <w:r w:rsidRPr="0029740C">
        <w:rPr>
          <w:rFonts w:cstheme="minorHAnsi"/>
          <w:b/>
          <w:bCs/>
          <w:color w:val="000000" w:themeColor="text1"/>
          <w:lang w:val="fr-FR"/>
        </w:rPr>
        <w:br/>
      </w:r>
      <w:r w:rsidRPr="0029740C">
        <w:rPr>
          <w:rStyle w:val="lev"/>
          <w:rFonts w:cstheme="minorHAnsi"/>
          <w:color w:val="000000" w:themeColor="text1"/>
          <w:lang w:val="fr-FR"/>
        </w:rPr>
        <w:t>rendez-vous sur </w:t>
      </w:r>
      <w:hyperlink r:id="rId16" w:tgtFrame="_blank" w:tooltip="mesquestionsdargent.fr (nouvelle fenêtre)" w:history="1">
        <w:r w:rsidRPr="0029740C">
          <w:rPr>
            <w:rStyle w:val="Lienhypertexte"/>
            <w:rFonts w:cstheme="minorHAnsi"/>
            <w:color w:val="000000" w:themeColor="text1"/>
            <w:lang w:val="fr-FR"/>
          </w:rPr>
          <w:t>mesquestionsdargent.fr</w:t>
        </w:r>
      </w:hyperlink>
    </w:p>
    <w:p w:rsidR="00C27E6A" w:rsidRPr="0029740C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29740C" w:rsidRDefault="00C27E6A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p w:rsidR="00381405" w:rsidRPr="0029740C" w:rsidRDefault="00381405" w:rsidP="00F40A5B">
      <w:pPr>
        <w:pStyle w:val="Corpsdetexte"/>
        <w:ind w:right="59"/>
        <w:rPr>
          <w:sz w:val="14"/>
          <w:lang w:val="fr-FR"/>
        </w:rPr>
      </w:pPr>
    </w:p>
    <w:sectPr w:rsidR="00381405" w:rsidRPr="0029740C" w:rsidSect="00F60753">
      <w:headerReference w:type="default" r:id="rId17"/>
      <w:footerReference w:type="default" r:id="rId18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AD" w:rsidRDefault="00B41DAD" w:rsidP="0079276E">
      <w:r>
        <w:separator/>
      </w:r>
    </w:p>
  </w:endnote>
  <w:endnote w:type="continuationSeparator" w:id="0">
    <w:p w:rsidR="00B41DAD" w:rsidRDefault="00B41D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39" w:rsidRDefault="00075639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</w:tblGrid>
    <w:tr w:rsidR="00BC6E03" w:rsidRPr="00080843" w:rsidTr="00BC6E03">
      <w:trPr>
        <w:trHeight w:val="993"/>
      </w:trPr>
      <w:tc>
        <w:tcPr>
          <w:tcW w:w="5073" w:type="dxa"/>
          <w:vAlign w:val="bottom"/>
        </w:tcPr>
        <w:p w:rsidR="00BC6E03" w:rsidRPr="00BC6E03" w:rsidRDefault="00BC6E03" w:rsidP="00942B28">
          <w:pPr>
            <w:pStyle w:val="intituledirection"/>
            <w:rPr>
              <w:sz w:val="20"/>
            </w:rPr>
          </w:pPr>
          <w:r w:rsidRPr="00BC6E03">
            <w:rPr>
              <w:sz w:val="20"/>
            </w:rPr>
            <w:t>Contact presse</w:t>
          </w:r>
        </w:p>
        <w:p w:rsidR="00BC6E03" w:rsidRPr="00BC6E03" w:rsidRDefault="00BC6E03" w:rsidP="00942B28">
          <w:pPr>
            <w:pStyle w:val="intituledirection"/>
            <w:rPr>
              <w:sz w:val="20"/>
            </w:rPr>
          </w:pPr>
          <w:r w:rsidRPr="00BC6E03">
            <w:rPr>
              <w:sz w:val="20"/>
            </w:rPr>
            <w:t>Direction générale de la cohésion sociale</w:t>
          </w:r>
        </w:p>
        <w:p w:rsidR="00BC6E03" w:rsidRPr="00942B28" w:rsidRDefault="005A3041" w:rsidP="00BC6E03">
          <w:pPr>
            <w:pStyle w:val="PieddePage0"/>
            <w:rPr>
              <w:lang w:val="en-US"/>
            </w:rPr>
          </w:pPr>
          <w:hyperlink r:id="rId1" w:history="1">
            <w:r>
              <w:rPr>
                <w:rStyle w:val="Lienhypertexte"/>
                <w:sz w:val="18"/>
              </w:rPr>
              <w:t>dgcs-com@</w:t>
            </w:r>
            <w:bookmarkStart w:id="0" w:name="_GoBack"/>
            <w:bookmarkEnd w:id="0"/>
            <w:r w:rsidR="00BC6E03" w:rsidRPr="00BC6E03">
              <w:rPr>
                <w:rStyle w:val="Lienhypertexte"/>
                <w:sz w:val="18"/>
              </w:rPr>
              <w:t>s</w:t>
            </w:r>
            <w:r>
              <w:rPr>
                <w:rStyle w:val="Lienhypertexte"/>
                <w:sz w:val="18"/>
              </w:rPr>
              <w:t>o</w:t>
            </w:r>
            <w:r w:rsidR="00BC6E03" w:rsidRPr="00BC6E03">
              <w:rPr>
                <w:rStyle w:val="Lienhypertexte"/>
                <w:sz w:val="18"/>
              </w:rPr>
              <w:t>cial.gouv.fr</w:t>
            </w:r>
          </w:hyperlink>
        </w:p>
      </w:tc>
    </w:tr>
  </w:tbl>
  <w:p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41" w:rsidRDefault="005A304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5A3041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p w:rsidR="00381405" w:rsidRPr="00BC6E03" w:rsidRDefault="00381405" w:rsidP="00381405">
    <w:pPr>
      <w:pStyle w:val="intituledirection"/>
      <w:rPr>
        <w:sz w:val="20"/>
      </w:rPr>
    </w:pPr>
    <w:r w:rsidRPr="00BC6E03">
      <w:rPr>
        <w:sz w:val="20"/>
      </w:rPr>
      <w:t>Contact presse</w:t>
    </w:r>
  </w:p>
  <w:p w:rsidR="00381405" w:rsidRPr="00BC6E03" w:rsidRDefault="00381405" w:rsidP="00381405">
    <w:pPr>
      <w:pStyle w:val="intituledirection"/>
      <w:rPr>
        <w:sz w:val="20"/>
      </w:rPr>
    </w:pPr>
    <w:r w:rsidRPr="00BC6E03">
      <w:rPr>
        <w:sz w:val="20"/>
      </w:rPr>
      <w:t>Direction générale de la cohésion sociale</w:t>
    </w:r>
  </w:p>
  <w:p w:rsidR="000E64B8" w:rsidRPr="00965B19" w:rsidRDefault="005A3041" w:rsidP="00381405">
    <w:pPr>
      <w:pStyle w:val="Pieddepage"/>
      <w:rPr>
        <w:lang w:val="fr-FR"/>
      </w:rPr>
    </w:pPr>
    <w:hyperlink r:id="rId1" w:history="1">
      <w:r w:rsidR="00381405" w:rsidRPr="00BC6E03">
        <w:rPr>
          <w:rStyle w:val="Lienhypertexte"/>
          <w:sz w:val="18"/>
        </w:rPr>
        <w:t>dgcs-com@oscial.gouv.fr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AD" w:rsidRDefault="00B41DAD" w:rsidP="0079276E">
      <w:r>
        <w:separator/>
      </w:r>
    </w:p>
  </w:footnote>
  <w:footnote w:type="continuationSeparator" w:id="0">
    <w:p w:rsidR="00B41DAD" w:rsidRDefault="00B41D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41" w:rsidRDefault="005A30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BC6E03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90F1646" wp14:editId="52D66A9F">
          <wp:simplePos x="0" y="0"/>
          <wp:positionH relativeFrom="column">
            <wp:posOffset>-201881</wp:posOffset>
          </wp:positionH>
          <wp:positionV relativeFrom="paragraph">
            <wp:posOffset>-130514</wp:posOffset>
          </wp:positionV>
          <wp:extent cx="1710690" cy="133159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41" w:rsidRDefault="005A304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C59"/>
    <w:multiLevelType w:val="hybridMultilevel"/>
    <w:tmpl w:val="E64EF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74F68"/>
    <w:multiLevelType w:val="hybridMultilevel"/>
    <w:tmpl w:val="142AE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1A"/>
    <w:rsid w:val="000257DD"/>
    <w:rsid w:val="00045911"/>
    <w:rsid w:val="00065060"/>
    <w:rsid w:val="00075639"/>
    <w:rsid w:val="00075F14"/>
    <w:rsid w:val="00076B31"/>
    <w:rsid w:val="00080843"/>
    <w:rsid w:val="000924D0"/>
    <w:rsid w:val="000948F1"/>
    <w:rsid w:val="000B2933"/>
    <w:rsid w:val="000E64B8"/>
    <w:rsid w:val="001078B3"/>
    <w:rsid w:val="00110401"/>
    <w:rsid w:val="0013044F"/>
    <w:rsid w:val="002405F5"/>
    <w:rsid w:val="002622F6"/>
    <w:rsid w:val="00290741"/>
    <w:rsid w:val="0029740C"/>
    <w:rsid w:val="002A483F"/>
    <w:rsid w:val="002B0FC3"/>
    <w:rsid w:val="00351D49"/>
    <w:rsid w:val="0035355E"/>
    <w:rsid w:val="00361129"/>
    <w:rsid w:val="00381405"/>
    <w:rsid w:val="00403CC2"/>
    <w:rsid w:val="004714C6"/>
    <w:rsid w:val="0047231F"/>
    <w:rsid w:val="0047637F"/>
    <w:rsid w:val="00491912"/>
    <w:rsid w:val="004B4946"/>
    <w:rsid w:val="004F011D"/>
    <w:rsid w:val="004F403D"/>
    <w:rsid w:val="005417EF"/>
    <w:rsid w:val="005578AE"/>
    <w:rsid w:val="005A3041"/>
    <w:rsid w:val="005C5312"/>
    <w:rsid w:val="005F2E98"/>
    <w:rsid w:val="006107E7"/>
    <w:rsid w:val="00612D69"/>
    <w:rsid w:val="0063635F"/>
    <w:rsid w:val="0064617C"/>
    <w:rsid w:val="00676046"/>
    <w:rsid w:val="00681D72"/>
    <w:rsid w:val="006B6D26"/>
    <w:rsid w:val="006C660A"/>
    <w:rsid w:val="006D6820"/>
    <w:rsid w:val="006E4D10"/>
    <w:rsid w:val="00747A49"/>
    <w:rsid w:val="00756175"/>
    <w:rsid w:val="0077761A"/>
    <w:rsid w:val="007816B9"/>
    <w:rsid w:val="0079276E"/>
    <w:rsid w:val="007E7C2B"/>
    <w:rsid w:val="007F2C9C"/>
    <w:rsid w:val="00807CCD"/>
    <w:rsid w:val="00851458"/>
    <w:rsid w:val="0085454E"/>
    <w:rsid w:val="00874AA0"/>
    <w:rsid w:val="00881E9F"/>
    <w:rsid w:val="00882D33"/>
    <w:rsid w:val="008D59BF"/>
    <w:rsid w:val="008D63A4"/>
    <w:rsid w:val="00942B28"/>
    <w:rsid w:val="00961EFE"/>
    <w:rsid w:val="00965B19"/>
    <w:rsid w:val="00992DBA"/>
    <w:rsid w:val="009B085A"/>
    <w:rsid w:val="009B302B"/>
    <w:rsid w:val="009C2BC3"/>
    <w:rsid w:val="00A30EA6"/>
    <w:rsid w:val="00A87724"/>
    <w:rsid w:val="00AB0307"/>
    <w:rsid w:val="00AD2B0C"/>
    <w:rsid w:val="00AE6D60"/>
    <w:rsid w:val="00B01231"/>
    <w:rsid w:val="00B41DAD"/>
    <w:rsid w:val="00B864B8"/>
    <w:rsid w:val="00BC6E03"/>
    <w:rsid w:val="00C151F4"/>
    <w:rsid w:val="00C1578D"/>
    <w:rsid w:val="00C27E6A"/>
    <w:rsid w:val="00C61458"/>
    <w:rsid w:val="00C67312"/>
    <w:rsid w:val="00C770C3"/>
    <w:rsid w:val="00CB238D"/>
    <w:rsid w:val="00CD5E65"/>
    <w:rsid w:val="00CF6461"/>
    <w:rsid w:val="00D10C52"/>
    <w:rsid w:val="00D41A82"/>
    <w:rsid w:val="00DB5393"/>
    <w:rsid w:val="00DC0017"/>
    <w:rsid w:val="00E00E6D"/>
    <w:rsid w:val="00E1750F"/>
    <w:rsid w:val="00E5641A"/>
    <w:rsid w:val="00E73216"/>
    <w:rsid w:val="00EA097D"/>
    <w:rsid w:val="00EE0E18"/>
    <w:rsid w:val="00F40A5B"/>
    <w:rsid w:val="00F45A1B"/>
    <w:rsid w:val="00F60753"/>
    <w:rsid w:val="00F60DE1"/>
    <w:rsid w:val="00F64B8F"/>
    <w:rsid w:val="00FB6A61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B7F56C"/>
  <w15:docId w15:val="{8564C1AA-804C-4227-9364-E37E2815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74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29740C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29740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1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mesquestionsdargent.fr/intervenants-sociaux/point-conseil-budg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olidarites-sante.gouv.fr/affaires-sociales/lutte-contre-l-exclusion/PCB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auline.broquet\Desktop\CP\dgcs-com@oscial.gouv.f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auline.broquet\Desktop\CP\dgcs-com@oscial.gouv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~1.BRO\AppData\Local\Temp\7zOC524F98C\CP_Gouvernemen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6A8C-DE0D-40DA-933D-CE7BC847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CP_Gouvernement.dotx</Template>
  <TotalTime>1</TotalTime>
  <Pages>2</Pages>
  <Words>538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BROQUET, Pauline (DGCS/DIRECTION/CAB-COM)</dc:creator>
  <cp:lastModifiedBy>MANDRIN, Chimène (DGCS/DIRECTION/CAB-COM)</cp:lastModifiedBy>
  <cp:revision>2</cp:revision>
  <dcterms:created xsi:type="dcterms:W3CDTF">2021-06-16T13:04:00Z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