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D68EC" w14:textId="4BACE310" w:rsidR="00946798" w:rsidRDefault="007E23E0" w:rsidP="007E23E0">
      <w:pPr>
        <w:jc w:val="center"/>
      </w:pPr>
      <w:r w:rsidRPr="007E23E0">
        <w:rPr>
          <w:noProof/>
        </w:rPr>
        <w:drawing>
          <wp:inline distT="0" distB="0" distL="0" distR="0" wp14:anchorId="55B0A0BC" wp14:editId="54FF98C3">
            <wp:extent cx="1941201" cy="1143000"/>
            <wp:effectExtent l="0" t="0" r="1905" b="0"/>
            <wp:docPr id="1" name="Image 1" title="Gouver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-catherine.ferra\Desktop\Identité visuelle et gabarits\Logos\Nouvelle_Marianne_Le gouvernem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09" cy="116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EDDA1" w14:textId="77777777" w:rsidR="00946798" w:rsidRDefault="00946798"/>
    <w:p w14:paraId="52A956A8" w14:textId="77777777" w:rsidR="00946798" w:rsidRDefault="00946798">
      <w:r>
        <w:rPr>
          <w:rFonts w:ascii="Candara" w:hAnsi="Candara"/>
          <w:b/>
          <w:noProof/>
          <w:sz w:val="32"/>
          <w:szCs w:val="32"/>
        </w:rPr>
        <w:drawing>
          <wp:inline distT="0" distB="0" distL="0" distR="0" wp14:anchorId="31424CC6" wp14:editId="4786A107">
            <wp:extent cx="2366682" cy="825505"/>
            <wp:effectExtent l="0" t="0" r="0" b="0"/>
            <wp:docPr id="3" name="Image 3" title="Stratégie nationale de prévention et de lutte contre la pauvre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Stratégie pauvreté Marianne - FrSolidaire 3lig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989" cy="83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E5DE5" w14:textId="77777777" w:rsidR="00946798" w:rsidRPr="00946798" w:rsidRDefault="00FA76D7" w:rsidP="00946798">
      <w:pPr>
        <w:pStyle w:val="NormalWeb"/>
        <w:spacing w:line="360" w:lineRule="atLeast"/>
        <w:jc w:val="center"/>
        <w:rPr>
          <w:rFonts w:ascii="Marianne" w:hAnsi="Marianne" w:cstheme="minorHAnsi"/>
          <w:b/>
          <w:color w:val="E83647"/>
          <w:spacing w:val="20"/>
          <w:sz w:val="32"/>
          <w:szCs w:val="32"/>
        </w:rPr>
      </w:pPr>
      <w:r w:rsidRPr="009E13C1">
        <w:rPr>
          <w:rFonts w:ascii="Marianne" w:hAnsi="Marianne" w:cstheme="minorHAnsi"/>
          <w:b/>
          <w:color w:val="E83647"/>
          <w:spacing w:val="20"/>
          <w:sz w:val="32"/>
          <w:szCs w:val="32"/>
        </w:rPr>
        <w:t>COMMUNIQUE DE PRESSE</w:t>
      </w:r>
    </w:p>
    <w:p w14:paraId="3615057D" w14:textId="02DD03C8" w:rsidR="00946798" w:rsidRPr="00946798" w:rsidRDefault="008D4BA4" w:rsidP="00946798">
      <w:pPr>
        <w:autoSpaceDE w:val="0"/>
        <w:autoSpaceDN w:val="0"/>
        <w:adjustRightInd w:val="0"/>
        <w:jc w:val="right"/>
        <w:rPr>
          <w:rFonts w:ascii="Marianne" w:hAnsi="Marianne" w:cstheme="minorHAnsi"/>
          <w:sz w:val="18"/>
          <w:szCs w:val="18"/>
        </w:rPr>
      </w:pPr>
      <w:r w:rsidRPr="009E13C1">
        <w:rPr>
          <w:rFonts w:ascii="Marianne" w:hAnsi="Marianne" w:cstheme="minorHAnsi"/>
          <w:sz w:val="18"/>
          <w:szCs w:val="18"/>
        </w:rPr>
        <w:t>Pari</w:t>
      </w:r>
      <w:bookmarkStart w:id="0" w:name="_GoBack"/>
      <w:bookmarkEnd w:id="0"/>
      <w:r w:rsidRPr="009E13C1">
        <w:rPr>
          <w:rFonts w:ascii="Marianne" w:hAnsi="Marianne" w:cstheme="minorHAnsi"/>
          <w:sz w:val="18"/>
          <w:szCs w:val="18"/>
        </w:rPr>
        <w:t xml:space="preserve">s le </w:t>
      </w:r>
      <w:r w:rsidR="007E23E0">
        <w:rPr>
          <w:rFonts w:ascii="Marianne" w:hAnsi="Marianne" w:cstheme="minorHAnsi"/>
          <w:sz w:val="18"/>
          <w:szCs w:val="18"/>
        </w:rPr>
        <w:t>9</w:t>
      </w:r>
      <w:r w:rsidRPr="009E13C1">
        <w:rPr>
          <w:rFonts w:ascii="Marianne" w:hAnsi="Marianne" w:cstheme="minorHAnsi"/>
          <w:sz w:val="18"/>
          <w:szCs w:val="18"/>
        </w:rPr>
        <w:t xml:space="preserve"> décem</w:t>
      </w:r>
      <w:r w:rsidR="00FA76D7" w:rsidRPr="009E13C1">
        <w:rPr>
          <w:rFonts w:ascii="Marianne" w:hAnsi="Marianne" w:cstheme="minorHAnsi"/>
          <w:sz w:val="18"/>
          <w:szCs w:val="18"/>
        </w:rPr>
        <w:t>bre 2020</w:t>
      </w:r>
    </w:p>
    <w:p w14:paraId="5F806A72" w14:textId="77777777" w:rsidR="007E3699" w:rsidRDefault="007E3699" w:rsidP="00C36746">
      <w:pPr>
        <w:jc w:val="center"/>
        <w:rPr>
          <w:rFonts w:ascii="Marianne" w:hAnsi="Marianne"/>
          <w:b/>
          <w:sz w:val="22"/>
        </w:rPr>
      </w:pPr>
    </w:p>
    <w:p w14:paraId="5C806FAE" w14:textId="77777777" w:rsidR="00946798" w:rsidRPr="007E3699" w:rsidRDefault="00946798" w:rsidP="00C36746">
      <w:pPr>
        <w:jc w:val="center"/>
        <w:rPr>
          <w:rFonts w:ascii="Marianne" w:hAnsi="Marianne"/>
          <w:b/>
          <w:sz w:val="22"/>
        </w:rPr>
      </w:pPr>
    </w:p>
    <w:p w14:paraId="46493F00" w14:textId="77777777" w:rsidR="009D576B" w:rsidRDefault="008D4BA4" w:rsidP="00C36746">
      <w:pPr>
        <w:jc w:val="center"/>
        <w:rPr>
          <w:rFonts w:ascii="Marianne" w:hAnsi="Marianne"/>
          <w:b/>
          <w:sz w:val="28"/>
        </w:rPr>
      </w:pPr>
      <w:r>
        <w:rPr>
          <w:rFonts w:ascii="Marianne" w:hAnsi="Marianne"/>
          <w:b/>
          <w:sz w:val="28"/>
        </w:rPr>
        <w:t>P</w:t>
      </w:r>
      <w:r w:rsidR="009D576B">
        <w:rPr>
          <w:rFonts w:ascii="Marianne" w:hAnsi="Marianne"/>
          <w:b/>
          <w:sz w:val="28"/>
        </w:rPr>
        <w:t>lan de formation des professionnels de la petite enfance</w:t>
      </w:r>
      <w:r w:rsidR="009E13C1">
        <w:rPr>
          <w:rFonts w:ascii="Calibri" w:hAnsi="Calibri" w:cs="Calibri"/>
          <w:b/>
          <w:sz w:val="28"/>
        </w:rPr>
        <w:t> </w:t>
      </w:r>
      <w:r w:rsidR="009E13C1">
        <w:rPr>
          <w:rFonts w:ascii="Marianne" w:hAnsi="Marianne"/>
          <w:b/>
          <w:sz w:val="28"/>
        </w:rPr>
        <w:t>:</w:t>
      </w:r>
    </w:p>
    <w:p w14:paraId="0302C636" w14:textId="5D699DEB" w:rsidR="008D4BA4" w:rsidRPr="009D576B" w:rsidRDefault="008D4BA4" w:rsidP="00C36746">
      <w:pPr>
        <w:jc w:val="center"/>
        <w:rPr>
          <w:rFonts w:ascii="Marianne" w:hAnsi="Marianne"/>
          <w:b/>
          <w:sz w:val="28"/>
        </w:rPr>
      </w:pPr>
      <w:proofErr w:type="gramStart"/>
      <w:r>
        <w:rPr>
          <w:rFonts w:ascii="Marianne" w:hAnsi="Marianne"/>
          <w:b/>
          <w:sz w:val="28"/>
        </w:rPr>
        <w:t>la</w:t>
      </w:r>
      <w:proofErr w:type="gramEnd"/>
      <w:r>
        <w:rPr>
          <w:rFonts w:ascii="Marianne" w:hAnsi="Marianne"/>
          <w:b/>
          <w:sz w:val="28"/>
        </w:rPr>
        <w:t xml:space="preserve"> dynamique est lancée</w:t>
      </w:r>
    </w:p>
    <w:p w14:paraId="1C7AA59D" w14:textId="77777777" w:rsidR="009D576B" w:rsidRDefault="009D576B" w:rsidP="00C36746">
      <w:pPr>
        <w:jc w:val="both"/>
        <w:rPr>
          <w:rFonts w:ascii="Marianne" w:hAnsi="Marianne"/>
          <w:b/>
          <w:sz w:val="22"/>
        </w:rPr>
      </w:pPr>
    </w:p>
    <w:p w14:paraId="28304105" w14:textId="77777777" w:rsidR="00946798" w:rsidRDefault="00946798" w:rsidP="00C36746">
      <w:pPr>
        <w:jc w:val="both"/>
        <w:rPr>
          <w:rFonts w:ascii="Marianne" w:hAnsi="Marianne"/>
          <w:b/>
          <w:sz w:val="22"/>
        </w:rPr>
      </w:pPr>
    </w:p>
    <w:p w14:paraId="1D7EF03D" w14:textId="37DC224E" w:rsidR="009D149E" w:rsidRDefault="008D4BA4" w:rsidP="00946798">
      <w:pPr>
        <w:ind w:left="567" w:right="425"/>
        <w:jc w:val="both"/>
        <w:rPr>
          <w:rFonts w:ascii="Marianne" w:hAnsi="Marianne"/>
          <w:b/>
          <w:sz w:val="20"/>
          <w:szCs w:val="20"/>
        </w:rPr>
      </w:pPr>
      <w:r w:rsidRPr="008D4BA4">
        <w:rPr>
          <w:rFonts w:ascii="Marianne" w:hAnsi="Marianne"/>
          <w:b/>
          <w:sz w:val="20"/>
          <w:szCs w:val="20"/>
        </w:rPr>
        <w:t xml:space="preserve">Afin d’assurer l’égalité des chances dès le plus jeune âge et d’améliorer les conditions d’accueil pour tous les enfants, un plan de formation des professionnels de la petite enfance a été </w:t>
      </w:r>
      <w:r w:rsidR="009D149E">
        <w:rPr>
          <w:rFonts w:ascii="Marianne" w:hAnsi="Marianne"/>
          <w:b/>
          <w:sz w:val="20"/>
          <w:szCs w:val="20"/>
        </w:rPr>
        <w:t>lancé le 6 mai 2021</w:t>
      </w:r>
      <w:r w:rsidRPr="008D4BA4">
        <w:rPr>
          <w:rFonts w:ascii="Marianne" w:hAnsi="Marianne"/>
          <w:b/>
          <w:sz w:val="20"/>
          <w:szCs w:val="20"/>
        </w:rPr>
        <w:t xml:space="preserve">, </w:t>
      </w:r>
      <w:r w:rsidR="005E4AA3">
        <w:rPr>
          <w:rFonts w:ascii="Marianne" w:hAnsi="Marianne"/>
          <w:b/>
          <w:sz w:val="20"/>
          <w:szCs w:val="20"/>
        </w:rPr>
        <w:t>à l’issue d’</w:t>
      </w:r>
      <w:r w:rsidR="009D149E">
        <w:rPr>
          <w:rFonts w:ascii="Marianne" w:hAnsi="Marianne"/>
          <w:b/>
          <w:sz w:val="20"/>
          <w:szCs w:val="20"/>
        </w:rPr>
        <w:t xml:space="preserve">une phase de préfiguration fin 2020. </w:t>
      </w:r>
    </w:p>
    <w:p w14:paraId="231A6462" w14:textId="77777777" w:rsidR="009D149E" w:rsidRDefault="009D149E" w:rsidP="00946798">
      <w:pPr>
        <w:ind w:left="567" w:right="425"/>
        <w:jc w:val="both"/>
        <w:rPr>
          <w:rFonts w:ascii="Marianne" w:hAnsi="Marianne"/>
          <w:b/>
          <w:sz w:val="20"/>
          <w:szCs w:val="20"/>
        </w:rPr>
      </w:pPr>
    </w:p>
    <w:p w14:paraId="5E3B2426" w14:textId="52FDAB77" w:rsidR="008D4BA4" w:rsidRPr="008D4BA4" w:rsidRDefault="009D149E" w:rsidP="00946798">
      <w:pPr>
        <w:ind w:left="567" w:right="425"/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 xml:space="preserve">Il </w:t>
      </w:r>
      <w:r w:rsidR="008D4BA4" w:rsidRPr="008D4BA4">
        <w:rPr>
          <w:rFonts w:ascii="Marianne" w:hAnsi="Marianne"/>
          <w:b/>
          <w:sz w:val="20"/>
          <w:szCs w:val="20"/>
        </w:rPr>
        <w:t>répond à l’un des engagements de la stratégie de prévention et de lutte contre la pauvreté</w:t>
      </w:r>
      <w:r>
        <w:rPr>
          <w:rFonts w:ascii="Marianne" w:hAnsi="Marianne"/>
          <w:b/>
          <w:sz w:val="20"/>
          <w:szCs w:val="20"/>
        </w:rPr>
        <w:t xml:space="preserve"> et concourt</w:t>
      </w:r>
      <w:r w:rsidR="00361B0A">
        <w:rPr>
          <w:rFonts w:ascii="Marianne" w:hAnsi="Marianne"/>
          <w:b/>
          <w:sz w:val="20"/>
          <w:szCs w:val="20"/>
        </w:rPr>
        <w:t xml:space="preserve"> à la démarche d’unification du secteur de l’accueil du jeune enfant </w:t>
      </w:r>
      <w:r>
        <w:rPr>
          <w:rFonts w:ascii="Marianne" w:hAnsi="Marianne"/>
          <w:b/>
          <w:sz w:val="20"/>
          <w:szCs w:val="20"/>
        </w:rPr>
        <w:t xml:space="preserve">autour de la notion de qualité d’accueil </w:t>
      </w:r>
      <w:r w:rsidR="00361B0A">
        <w:rPr>
          <w:rFonts w:ascii="Marianne" w:hAnsi="Marianne"/>
          <w:b/>
          <w:sz w:val="20"/>
          <w:szCs w:val="20"/>
        </w:rPr>
        <w:t>conduite par le Secrétariat d’Etat chargé de l’enfance et des familles</w:t>
      </w:r>
      <w:r w:rsidR="008D4BA4" w:rsidRPr="008D4BA4">
        <w:rPr>
          <w:rFonts w:ascii="Marianne" w:hAnsi="Marianne"/>
          <w:b/>
          <w:sz w:val="20"/>
          <w:szCs w:val="20"/>
        </w:rPr>
        <w:t>.</w:t>
      </w:r>
    </w:p>
    <w:p w14:paraId="1DE69CA6" w14:textId="77777777" w:rsidR="008D4BA4" w:rsidRPr="008D4BA4" w:rsidRDefault="008D4BA4" w:rsidP="00946798">
      <w:pPr>
        <w:ind w:left="567" w:right="425"/>
        <w:jc w:val="both"/>
        <w:rPr>
          <w:rFonts w:ascii="Marianne" w:hAnsi="Marianne"/>
          <w:b/>
          <w:sz w:val="20"/>
          <w:szCs w:val="20"/>
        </w:rPr>
      </w:pPr>
    </w:p>
    <w:p w14:paraId="6FFBAEF4" w14:textId="072C4AA4" w:rsidR="009D149E" w:rsidRDefault="009D149E" w:rsidP="00946798">
      <w:pPr>
        <w:ind w:left="567" w:right="425"/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P</w:t>
      </w:r>
      <w:r w:rsidRPr="008D4BA4">
        <w:rPr>
          <w:rFonts w:ascii="Marianne" w:hAnsi="Marianne"/>
          <w:b/>
          <w:sz w:val="20"/>
          <w:szCs w:val="20"/>
        </w:rPr>
        <w:t>lus de 40</w:t>
      </w:r>
      <w:r w:rsidRPr="008D4BA4">
        <w:rPr>
          <w:b/>
          <w:sz w:val="20"/>
          <w:szCs w:val="20"/>
        </w:rPr>
        <w:t> </w:t>
      </w:r>
      <w:r w:rsidRPr="008D4BA4">
        <w:rPr>
          <w:rFonts w:ascii="Marianne" w:hAnsi="Marianne"/>
          <w:b/>
          <w:sz w:val="20"/>
          <w:szCs w:val="20"/>
        </w:rPr>
        <w:t>000 professionnels ont déjà</w:t>
      </w:r>
      <w:r>
        <w:rPr>
          <w:rFonts w:ascii="Marianne" w:hAnsi="Marianne"/>
          <w:b/>
          <w:sz w:val="20"/>
          <w:szCs w:val="20"/>
        </w:rPr>
        <w:t xml:space="preserve"> pu bénéficier d’un </w:t>
      </w:r>
      <w:r w:rsidR="005E4AA3">
        <w:rPr>
          <w:rFonts w:ascii="Marianne" w:hAnsi="Marianne"/>
          <w:b/>
          <w:sz w:val="20"/>
          <w:szCs w:val="20"/>
        </w:rPr>
        <w:t xml:space="preserve">des </w:t>
      </w:r>
      <w:r w:rsidR="00D1597E">
        <w:rPr>
          <w:rFonts w:ascii="Marianne" w:hAnsi="Marianne"/>
          <w:b/>
          <w:sz w:val="20"/>
          <w:szCs w:val="20"/>
        </w:rPr>
        <w:t>1</w:t>
      </w:r>
      <w:r w:rsidRPr="008D4BA4">
        <w:rPr>
          <w:rFonts w:ascii="Marianne" w:hAnsi="Marianne"/>
          <w:b/>
          <w:sz w:val="20"/>
          <w:szCs w:val="20"/>
        </w:rPr>
        <w:t>80 modules de formation créés</w:t>
      </w:r>
      <w:r w:rsidRPr="008D4BA4">
        <w:rPr>
          <w:rFonts w:ascii="Marianne" w:hAnsi="Marianne"/>
          <w:b/>
          <w:color w:val="000000"/>
          <w:sz w:val="20"/>
          <w:szCs w:val="20"/>
        </w:rPr>
        <w:t xml:space="preserve"> </w:t>
      </w:r>
      <w:r>
        <w:rPr>
          <w:rFonts w:ascii="Marianne" w:hAnsi="Marianne"/>
          <w:b/>
          <w:color w:val="000000"/>
          <w:sz w:val="20"/>
          <w:szCs w:val="20"/>
        </w:rPr>
        <w:t xml:space="preserve">sur les </w:t>
      </w:r>
      <w:r w:rsidRPr="008D4BA4">
        <w:rPr>
          <w:rFonts w:ascii="Marianne" w:hAnsi="Marianne"/>
          <w:b/>
          <w:sz w:val="20"/>
          <w:szCs w:val="20"/>
        </w:rPr>
        <w:t>7 thématiques</w:t>
      </w:r>
      <w:r>
        <w:rPr>
          <w:rFonts w:ascii="Marianne" w:hAnsi="Marianne"/>
          <w:b/>
          <w:sz w:val="20"/>
          <w:szCs w:val="20"/>
        </w:rPr>
        <w:t xml:space="preserve"> du plan,</w:t>
      </w:r>
      <w:r w:rsidRPr="008D4BA4">
        <w:rPr>
          <w:rFonts w:ascii="Marianne" w:hAnsi="Marianne"/>
          <w:b/>
          <w:sz w:val="20"/>
          <w:szCs w:val="20"/>
        </w:rPr>
        <w:t xml:space="preserve"> désormais </w:t>
      </w:r>
      <w:r>
        <w:rPr>
          <w:rFonts w:ascii="Marianne" w:hAnsi="Marianne"/>
          <w:b/>
          <w:sz w:val="20"/>
          <w:szCs w:val="20"/>
        </w:rPr>
        <w:t xml:space="preserve">toutes </w:t>
      </w:r>
      <w:r w:rsidRPr="008D4BA4">
        <w:rPr>
          <w:rFonts w:ascii="Marianne" w:hAnsi="Marianne"/>
          <w:b/>
          <w:sz w:val="20"/>
          <w:szCs w:val="20"/>
        </w:rPr>
        <w:t>couvertes</w:t>
      </w:r>
      <w:r>
        <w:rPr>
          <w:rFonts w:ascii="Marianne" w:hAnsi="Marianne"/>
          <w:b/>
          <w:sz w:val="20"/>
          <w:szCs w:val="20"/>
        </w:rPr>
        <w:t>, ou d’un des</w:t>
      </w:r>
      <w:r w:rsidRPr="008D4BA4">
        <w:rPr>
          <w:rFonts w:ascii="Marianne" w:hAnsi="Marianne"/>
          <w:b/>
          <w:sz w:val="20"/>
          <w:szCs w:val="20"/>
        </w:rPr>
        <w:t xml:space="preserve"> 124 projets</w:t>
      </w:r>
      <w:r>
        <w:rPr>
          <w:rFonts w:ascii="Marianne" w:hAnsi="Marianne"/>
          <w:b/>
          <w:sz w:val="20"/>
          <w:szCs w:val="20"/>
        </w:rPr>
        <w:t xml:space="preserve"> financés dans le cadre d’</w:t>
      </w:r>
      <w:r w:rsidRPr="008D4BA4">
        <w:rPr>
          <w:rFonts w:ascii="Marianne" w:hAnsi="Marianne"/>
          <w:b/>
          <w:sz w:val="20"/>
          <w:szCs w:val="20"/>
        </w:rPr>
        <w:t>appels à projets régionaux</w:t>
      </w:r>
      <w:r>
        <w:rPr>
          <w:rFonts w:ascii="Marianne" w:hAnsi="Marianne"/>
          <w:b/>
          <w:sz w:val="20"/>
          <w:szCs w:val="20"/>
        </w:rPr>
        <w:t xml:space="preserve">. </w:t>
      </w:r>
      <w:r w:rsidRPr="008D4BA4">
        <w:rPr>
          <w:rFonts w:ascii="Marianne" w:hAnsi="Marianne"/>
          <w:b/>
          <w:sz w:val="20"/>
          <w:szCs w:val="20"/>
        </w:rPr>
        <w:t xml:space="preserve"> </w:t>
      </w:r>
    </w:p>
    <w:p w14:paraId="666C351B" w14:textId="77777777" w:rsidR="009D149E" w:rsidRDefault="009D149E" w:rsidP="00946798">
      <w:pPr>
        <w:ind w:left="567" w:right="425"/>
        <w:jc w:val="both"/>
        <w:rPr>
          <w:rFonts w:ascii="Marianne" w:hAnsi="Marianne"/>
          <w:b/>
          <w:sz w:val="20"/>
          <w:szCs w:val="20"/>
        </w:rPr>
      </w:pPr>
    </w:p>
    <w:p w14:paraId="4F87EFFF" w14:textId="7260B6E7" w:rsidR="009D149E" w:rsidRDefault="009D149E" w:rsidP="00946798">
      <w:pPr>
        <w:ind w:left="567" w:right="425"/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Adrien Taquet déclare : « </w:t>
      </w:r>
      <w:r w:rsidRPr="007E23E0">
        <w:rPr>
          <w:rFonts w:ascii="Marianne" w:hAnsi="Marianne"/>
          <w:b/>
          <w:i/>
          <w:sz w:val="20"/>
          <w:szCs w:val="20"/>
        </w:rPr>
        <w:t xml:space="preserve">La dynamique du plan de formation des professionnels de la petite enfance est lancée et bien lancée. Je félicite et remercie les professionnels </w:t>
      </w:r>
      <w:r w:rsidR="00AA00E9" w:rsidRPr="007E23E0">
        <w:rPr>
          <w:rFonts w:ascii="Marianne" w:hAnsi="Marianne"/>
          <w:b/>
          <w:i/>
          <w:sz w:val="20"/>
          <w:szCs w:val="20"/>
        </w:rPr>
        <w:t xml:space="preserve">de leur investissement dans cette démarche et je sais pouvoir compter sur tous les acteurs nationaux et locaux de la petite enfance pour les inciter à y recourir et faciliter leur accès </w:t>
      </w:r>
      <w:r w:rsidR="00AA00E9">
        <w:rPr>
          <w:rFonts w:ascii="Marianne" w:hAnsi="Marianne"/>
          <w:b/>
          <w:i/>
          <w:sz w:val="20"/>
          <w:szCs w:val="20"/>
        </w:rPr>
        <w:t xml:space="preserve">à ces </w:t>
      </w:r>
      <w:r w:rsidR="00AA00E9" w:rsidRPr="007E23E0">
        <w:rPr>
          <w:rFonts w:ascii="Marianne" w:hAnsi="Marianne"/>
          <w:b/>
          <w:i/>
          <w:sz w:val="20"/>
          <w:szCs w:val="20"/>
        </w:rPr>
        <w:t>formation</w:t>
      </w:r>
      <w:r w:rsidR="00AA00E9">
        <w:rPr>
          <w:rFonts w:ascii="Marianne" w:hAnsi="Marianne"/>
          <w:b/>
          <w:i/>
          <w:sz w:val="20"/>
          <w:szCs w:val="20"/>
        </w:rPr>
        <w:t xml:space="preserve">s comme </w:t>
      </w:r>
      <w:r w:rsidR="00AA00E9" w:rsidRPr="007E23E0">
        <w:rPr>
          <w:rFonts w:ascii="Marianne" w:hAnsi="Marianne"/>
          <w:b/>
          <w:i/>
          <w:sz w:val="20"/>
          <w:szCs w:val="20"/>
        </w:rPr>
        <w:t xml:space="preserve">plus généralement à la formation continue, </w:t>
      </w:r>
      <w:r w:rsidR="00AA00E9">
        <w:rPr>
          <w:rFonts w:ascii="Marianne" w:hAnsi="Marianne"/>
          <w:b/>
          <w:i/>
          <w:sz w:val="20"/>
          <w:szCs w:val="20"/>
        </w:rPr>
        <w:t>condition essentielle</w:t>
      </w:r>
      <w:r w:rsidR="00AA00E9" w:rsidRPr="007E23E0">
        <w:rPr>
          <w:rFonts w:ascii="Marianne" w:hAnsi="Marianne"/>
          <w:b/>
          <w:i/>
          <w:sz w:val="20"/>
          <w:szCs w:val="20"/>
        </w:rPr>
        <w:t xml:space="preserve"> d’une qualité d’accueil toujours plus grande</w:t>
      </w:r>
      <w:r w:rsidR="00AA00E9">
        <w:rPr>
          <w:rFonts w:ascii="Marianne" w:hAnsi="Marianne"/>
          <w:b/>
          <w:sz w:val="20"/>
          <w:szCs w:val="20"/>
        </w:rPr>
        <w:t> ».</w:t>
      </w:r>
    </w:p>
    <w:p w14:paraId="2FFFE812" w14:textId="77777777" w:rsidR="009D149E" w:rsidRDefault="009D149E" w:rsidP="00946798">
      <w:pPr>
        <w:ind w:left="567" w:right="425"/>
        <w:jc w:val="both"/>
        <w:rPr>
          <w:rFonts w:ascii="Marianne" w:hAnsi="Marianne"/>
          <w:b/>
          <w:sz w:val="20"/>
          <w:szCs w:val="20"/>
        </w:rPr>
      </w:pPr>
    </w:p>
    <w:p w14:paraId="2A89A92F" w14:textId="2459D11F" w:rsidR="007E3699" w:rsidRPr="008D4BA4" w:rsidRDefault="009E13C1" w:rsidP="00946798">
      <w:pPr>
        <w:ind w:left="567" w:right="425"/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sz w:val="20"/>
          <w:szCs w:val="20"/>
        </w:rPr>
        <w:t>P</w:t>
      </w:r>
      <w:r w:rsidRPr="008D4BA4">
        <w:rPr>
          <w:rFonts w:ascii="Marianne" w:hAnsi="Marianne"/>
          <w:sz w:val="20"/>
          <w:szCs w:val="20"/>
        </w:rPr>
        <w:t>arce qu’il favorise le dévelo</w:t>
      </w:r>
      <w:r>
        <w:rPr>
          <w:rFonts w:ascii="Marianne" w:hAnsi="Marianne"/>
          <w:sz w:val="20"/>
          <w:szCs w:val="20"/>
        </w:rPr>
        <w:t>ppement et l’éveil de l’enfant</w:t>
      </w:r>
      <w:r>
        <w:rPr>
          <w:rFonts w:ascii="Calibri" w:hAnsi="Calibri" w:cs="Calibri"/>
          <w:sz w:val="20"/>
          <w:szCs w:val="20"/>
        </w:rPr>
        <w:t>, l</w:t>
      </w:r>
      <w:r w:rsidR="00D371B3" w:rsidRPr="008D4BA4">
        <w:rPr>
          <w:rFonts w:ascii="Marianne" w:hAnsi="Marianne"/>
          <w:sz w:val="20"/>
          <w:szCs w:val="20"/>
        </w:rPr>
        <w:t>’accueil des jeunes enfants constitue un levier efficace d</w:t>
      </w:r>
      <w:r>
        <w:rPr>
          <w:rFonts w:ascii="Marianne" w:hAnsi="Marianne"/>
          <w:sz w:val="20"/>
          <w:szCs w:val="20"/>
        </w:rPr>
        <w:t>e réduction des inégalités</w:t>
      </w:r>
      <w:r w:rsidR="00D371B3" w:rsidRPr="008D4BA4">
        <w:rPr>
          <w:rFonts w:ascii="Marianne" w:hAnsi="Marianne"/>
          <w:sz w:val="20"/>
          <w:szCs w:val="20"/>
        </w:rPr>
        <w:t>. Par la mise en place d’un plan de formation continue à destination des professionnels de la petite enfance,</w:t>
      </w:r>
      <w:r w:rsidR="00FE2DA4" w:rsidRPr="008D4BA4">
        <w:rPr>
          <w:rFonts w:ascii="Marianne" w:hAnsi="Marianne"/>
          <w:sz w:val="20"/>
          <w:szCs w:val="20"/>
        </w:rPr>
        <w:t xml:space="preserve"> </w:t>
      </w:r>
      <w:r w:rsidR="005E4AA3">
        <w:rPr>
          <w:rFonts w:ascii="Marianne" w:hAnsi="Marianne"/>
          <w:sz w:val="20"/>
          <w:szCs w:val="20"/>
        </w:rPr>
        <w:t xml:space="preserve">le Gouvernement </w:t>
      </w:r>
      <w:r w:rsidR="00D371B3" w:rsidRPr="008D4BA4">
        <w:rPr>
          <w:rFonts w:ascii="Marianne" w:hAnsi="Marianne"/>
          <w:sz w:val="20"/>
          <w:szCs w:val="20"/>
        </w:rPr>
        <w:t xml:space="preserve">s’est engagé </w:t>
      </w:r>
      <w:r w:rsidR="00FE2DA4" w:rsidRPr="008D4BA4">
        <w:rPr>
          <w:rFonts w:ascii="Marianne" w:hAnsi="Marianne"/>
          <w:sz w:val="20"/>
          <w:szCs w:val="20"/>
        </w:rPr>
        <w:t>à renforcer</w:t>
      </w:r>
      <w:r w:rsidR="00D371B3" w:rsidRPr="008D4BA4">
        <w:rPr>
          <w:rFonts w:ascii="Marianne" w:hAnsi="Marianne"/>
          <w:sz w:val="20"/>
          <w:szCs w:val="20"/>
        </w:rPr>
        <w:t xml:space="preserve"> la qualité des modes d’accueil</w:t>
      </w:r>
      <w:r>
        <w:rPr>
          <w:rFonts w:ascii="Marianne" w:hAnsi="Marianne"/>
          <w:sz w:val="20"/>
          <w:szCs w:val="20"/>
        </w:rPr>
        <w:t xml:space="preserve"> de tous les enfants</w:t>
      </w:r>
      <w:r w:rsidR="00D371B3" w:rsidRPr="008D4BA4">
        <w:rPr>
          <w:rFonts w:ascii="Marianne" w:hAnsi="Marianne"/>
          <w:sz w:val="20"/>
          <w:szCs w:val="20"/>
        </w:rPr>
        <w:t>.</w:t>
      </w:r>
    </w:p>
    <w:p w14:paraId="7E2C2C04" w14:textId="77777777" w:rsidR="00E675B0" w:rsidRPr="008D4BA4" w:rsidRDefault="00E675B0" w:rsidP="00946798">
      <w:pPr>
        <w:ind w:left="567" w:right="425"/>
        <w:jc w:val="both"/>
        <w:rPr>
          <w:rFonts w:ascii="Marianne" w:hAnsi="Marianne"/>
          <w:sz w:val="20"/>
          <w:szCs w:val="20"/>
        </w:rPr>
      </w:pPr>
    </w:p>
    <w:p w14:paraId="7FA189AA" w14:textId="70C72F71" w:rsidR="00507F94" w:rsidRPr="008D4BA4" w:rsidRDefault="00E675B0" w:rsidP="00946798">
      <w:pPr>
        <w:ind w:left="567" w:right="425"/>
        <w:jc w:val="both"/>
        <w:rPr>
          <w:rFonts w:ascii="Marianne" w:hAnsi="Marianne"/>
          <w:sz w:val="20"/>
          <w:szCs w:val="20"/>
        </w:rPr>
      </w:pPr>
      <w:r w:rsidRPr="008D4BA4">
        <w:rPr>
          <w:rFonts w:ascii="Marianne" w:hAnsi="Marianne"/>
          <w:sz w:val="20"/>
          <w:szCs w:val="20"/>
        </w:rPr>
        <w:t xml:space="preserve">Construit autour de </w:t>
      </w:r>
      <w:r w:rsidRPr="008D4BA4">
        <w:rPr>
          <w:rFonts w:ascii="Marianne" w:hAnsi="Marianne"/>
          <w:b/>
          <w:sz w:val="20"/>
          <w:szCs w:val="20"/>
        </w:rPr>
        <w:t>7 thématiques</w:t>
      </w:r>
      <w:r w:rsidR="009E13C1">
        <w:rPr>
          <w:rFonts w:ascii="Marianne" w:hAnsi="Marianne"/>
          <w:sz w:val="20"/>
          <w:szCs w:val="20"/>
        </w:rPr>
        <w:t xml:space="preserve">* </w:t>
      </w:r>
      <w:r w:rsidR="00AA00E9">
        <w:rPr>
          <w:rFonts w:ascii="Marianne" w:hAnsi="Marianne"/>
          <w:sz w:val="20"/>
          <w:szCs w:val="20"/>
        </w:rPr>
        <w:t xml:space="preserve">inspirées de la Charte nationale de qualité d’accueil du jeune enfant à laquelle la réforme des services aux familles a donné force obligatoire, et </w:t>
      </w:r>
      <w:r w:rsidRPr="008D4BA4">
        <w:rPr>
          <w:rFonts w:ascii="Marianne" w:hAnsi="Marianne"/>
          <w:sz w:val="20"/>
          <w:szCs w:val="20"/>
        </w:rPr>
        <w:t xml:space="preserve">issues des travaux du Haut Conseil de la famille, de l’enfance et de l’âge (HCFEA) sur la qualité éducative et affective des modes d’accueil, ce plan de formation </w:t>
      </w:r>
      <w:r w:rsidR="00507F94" w:rsidRPr="008D4BA4">
        <w:rPr>
          <w:rFonts w:ascii="Marianne" w:hAnsi="Marianne"/>
          <w:sz w:val="20"/>
          <w:szCs w:val="20"/>
        </w:rPr>
        <w:t xml:space="preserve">se déploie à travers </w:t>
      </w:r>
      <w:r w:rsidRPr="008D4BA4">
        <w:rPr>
          <w:rFonts w:ascii="Marianne" w:hAnsi="Marianne"/>
          <w:sz w:val="20"/>
          <w:szCs w:val="20"/>
        </w:rPr>
        <w:t>un volet na</w:t>
      </w:r>
      <w:r w:rsidR="00507F94" w:rsidRPr="008D4BA4">
        <w:rPr>
          <w:rFonts w:ascii="Marianne" w:hAnsi="Marianne"/>
          <w:sz w:val="20"/>
          <w:szCs w:val="20"/>
        </w:rPr>
        <w:t xml:space="preserve">tional et </w:t>
      </w:r>
      <w:r w:rsidRPr="008D4BA4">
        <w:rPr>
          <w:rFonts w:ascii="Marianne" w:hAnsi="Marianne"/>
          <w:sz w:val="20"/>
          <w:szCs w:val="20"/>
        </w:rPr>
        <w:t xml:space="preserve">un volet territorial. </w:t>
      </w:r>
    </w:p>
    <w:p w14:paraId="732B3478" w14:textId="77777777" w:rsidR="009E13C1" w:rsidRDefault="009E13C1" w:rsidP="00946798">
      <w:pPr>
        <w:ind w:left="567" w:right="425"/>
        <w:jc w:val="both"/>
        <w:rPr>
          <w:rFonts w:ascii="Marianne" w:hAnsi="Marianne"/>
          <w:sz w:val="20"/>
          <w:szCs w:val="20"/>
        </w:rPr>
      </w:pPr>
    </w:p>
    <w:p w14:paraId="4BB2F2CA" w14:textId="212D4AAB" w:rsidR="00D371B3" w:rsidRPr="008D4BA4" w:rsidRDefault="00FE2DA4" w:rsidP="007E23E0">
      <w:pPr>
        <w:ind w:left="567" w:right="425"/>
        <w:jc w:val="both"/>
        <w:rPr>
          <w:rFonts w:ascii="Marianne" w:hAnsi="Marianne"/>
          <w:sz w:val="20"/>
          <w:szCs w:val="20"/>
        </w:rPr>
      </w:pPr>
      <w:r w:rsidRPr="008D4BA4">
        <w:rPr>
          <w:rFonts w:ascii="Marianne" w:hAnsi="Marianne"/>
          <w:sz w:val="20"/>
          <w:szCs w:val="20"/>
        </w:rPr>
        <w:t>Dans le cadre du premier volet, des c</w:t>
      </w:r>
      <w:r w:rsidR="009E13C1">
        <w:rPr>
          <w:rFonts w:ascii="Marianne" w:hAnsi="Marianne"/>
          <w:sz w:val="20"/>
          <w:szCs w:val="20"/>
        </w:rPr>
        <w:t>onventions avec les différents o</w:t>
      </w:r>
      <w:r w:rsidRPr="008D4BA4">
        <w:rPr>
          <w:rFonts w:ascii="Marianne" w:hAnsi="Marianne"/>
          <w:sz w:val="20"/>
          <w:szCs w:val="20"/>
        </w:rPr>
        <w:t xml:space="preserve">pérateurs de compétences et branches ont été conclues </w:t>
      </w:r>
      <w:r w:rsidR="002A6AE8">
        <w:rPr>
          <w:rFonts w:ascii="Marianne" w:hAnsi="Marianne"/>
          <w:sz w:val="20"/>
          <w:szCs w:val="20"/>
        </w:rPr>
        <w:t>entre la fin 2020 et le premier semestre 2021</w:t>
      </w:r>
      <w:r w:rsidRPr="008D4BA4">
        <w:rPr>
          <w:rFonts w:ascii="Marianne" w:hAnsi="Marianne"/>
          <w:sz w:val="20"/>
          <w:szCs w:val="20"/>
        </w:rPr>
        <w:t xml:space="preserve">. </w:t>
      </w:r>
      <w:r w:rsidR="00E675B0" w:rsidRPr="008D4BA4">
        <w:rPr>
          <w:rFonts w:ascii="Marianne" w:hAnsi="Marianne"/>
          <w:sz w:val="20"/>
          <w:szCs w:val="20"/>
        </w:rPr>
        <w:t xml:space="preserve">L’objectif est la création de parcours de </w:t>
      </w:r>
      <w:r w:rsidRPr="008D4BA4">
        <w:rPr>
          <w:rFonts w:ascii="Marianne" w:hAnsi="Marianne"/>
          <w:sz w:val="20"/>
          <w:szCs w:val="20"/>
        </w:rPr>
        <w:t>formation spécifique</w:t>
      </w:r>
      <w:r w:rsidR="00ED36F8" w:rsidRPr="008D4BA4">
        <w:rPr>
          <w:rFonts w:ascii="Marianne" w:hAnsi="Marianne"/>
          <w:sz w:val="20"/>
          <w:szCs w:val="20"/>
        </w:rPr>
        <w:t>s</w:t>
      </w:r>
      <w:r w:rsidR="00507F94" w:rsidRPr="008D4BA4">
        <w:rPr>
          <w:rFonts w:ascii="Marianne" w:hAnsi="Marianne"/>
          <w:sz w:val="20"/>
          <w:szCs w:val="20"/>
        </w:rPr>
        <w:t xml:space="preserve"> à un prix </w:t>
      </w:r>
      <w:r w:rsidR="00E675B0" w:rsidRPr="008D4BA4">
        <w:rPr>
          <w:rFonts w:ascii="Marianne" w:hAnsi="Marianne"/>
          <w:sz w:val="20"/>
          <w:szCs w:val="20"/>
        </w:rPr>
        <w:t xml:space="preserve">réduit. </w:t>
      </w:r>
      <w:r w:rsidR="003855AD" w:rsidRPr="007E23E0">
        <w:rPr>
          <w:rFonts w:ascii="Marianne" w:hAnsi="Marianne"/>
          <w:sz w:val="20"/>
          <w:szCs w:val="20"/>
        </w:rPr>
        <w:t xml:space="preserve">En dialogue avec le </w:t>
      </w:r>
      <w:r w:rsidR="00AA00E9" w:rsidRPr="007E23E0">
        <w:rPr>
          <w:rFonts w:ascii="Marianne" w:hAnsi="Marianne"/>
          <w:sz w:val="20"/>
          <w:szCs w:val="20"/>
        </w:rPr>
        <w:t>Secrétariat d’Etat chargé d</w:t>
      </w:r>
      <w:r w:rsidR="007E23E0" w:rsidRPr="007E23E0">
        <w:rPr>
          <w:rFonts w:ascii="Marianne" w:hAnsi="Marianne"/>
          <w:sz w:val="20"/>
          <w:szCs w:val="20"/>
        </w:rPr>
        <w:t>e l’Enfance et des Familles,</w:t>
      </w:r>
      <w:r w:rsidRPr="007E23E0">
        <w:rPr>
          <w:rFonts w:ascii="Marianne" w:hAnsi="Marianne"/>
          <w:sz w:val="20"/>
          <w:szCs w:val="20"/>
        </w:rPr>
        <w:t xml:space="preserve"> ces</w:t>
      </w:r>
      <w:r w:rsidR="00507F94" w:rsidRPr="007E23E0">
        <w:rPr>
          <w:rFonts w:ascii="Marianne" w:hAnsi="Marianne"/>
          <w:sz w:val="20"/>
          <w:szCs w:val="20"/>
        </w:rPr>
        <w:t xml:space="preserve"> organismes ont ensuite adapté leur offre de formation afin qu’elle corresponde au référentiel du plan. Ainsi, </w:t>
      </w:r>
      <w:r w:rsidR="00507F94" w:rsidRPr="007E23E0">
        <w:rPr>
          <w:rFonts w:ascii="Marianne" w:hAnsi="Marianne"/>
          <w:b/>
          <w:sz w:val="20"/>
          <w:szCs w:val="20"/>
        </w:rPr>
        <w:t>180 modules</w:t>
      </w:r>
      <w:r w:rsidR="00507F94" w:rsidRPr="007E23E0">
        <w:rPr>
          <w:rFonts w:ascii="Marianne" w:hAnsi="Marianne"/>
          <w:sz w:val="20"/>
          <w:szCs w:val="20"/>
        </w:rPr>
        <w:t xml:space="preserve"> </w:t>
      </w:r>
      <w:r w:rsidR="00507F94" w:rsidRPr="007E23E0">
        <w:rPr>
          <w:rFonts w:ascii="Marianne" w:hAnsi="Marianne"/>
          <w:b/>
          <w:sz w:val="20"/>
          <w:szCs w:val="20"/>
        </w:rPr>
        <w:t>de formation</w:t>
      </w:r>
      <w:r w:rsidR="00507F94" w:rsidRPr="007E23E0">
        <w:rPr>
          <w:rFonts w:ascii="Marianne" w:hAnsi="Marianne"/>
          <w:sz w:val="20"/>
          <w:szCs w:val="20"/>
        </w:rPr>
        <w:t>, recouvrant l’ensemble des thématiques du plan, ont été identifiés comme éligibles au plan de formation.</w:t>
      </w:r>
      <w:r w:rsidR="00507F94" w:rsidRPr="008D4BA4">
        <w:rPr>
          <w:rFonts w:ascii="Marianne" w:hAnsi="Marianne"/>
          <w:sz w:val="20"/>
          <w:szCs w:val="20"/>
        </w:rPr>
        <w:t xml:space="preserve"> </w:t>
      </w:r>
    </w:p>
    <w:p w14:paraId="2B191D4E" w14:textId="77777777" w:rsidR="009E13C1" w:rsidRPr="008D4BA4" w:rsidRDefault="009E13C1">
      <w:pPr>
        <w:ind w:left="567" w:right="425"/>
        <w:jc w:val="both"/>
        <w:rPr>
          <w:rFonts w:ascii="Marianne" w:hAnsi="Marianne"/>
          <w:sz w:val="20"/>
          <w:szCs w:val="20"/>
        </w:rPr>
      </w:pPr>
    </w:p>
    <w:p w14:paraId="7D85FEB7" w14:textId="77777777" w:rsidR="00946798" w:rsidRDefault="00946798" w:rsidP="00946798">
      <w:pPr>
        <w:ind w:left="567" w:right="425"/>
        <w:jc w:val="both"/>
        <w:rPr>
          <w:rFonts w:ascii="Marianne" w:hAnsi="Marianne"/>
          <w:sz w:val="20"/>
          <w:szCs w:val="20"/>
        </w:rPr>
      </w:pPr>
    </w:p>
    <w:p w14:paraId="1889BA54" w14:textId="6196464E" w:rsidR="002A6AE8" w:rsidRPr="008D4BA4" w:rsidRDefault="00507F94" w:rsidP="002A6AE8">
      <w:pPr>
        <w:ind w:left="567" w:right="425"/>
        <w:jc w:val="both"/>
        <w:rPr>
          <w:rFonts w:ascii="Marianne" w:hAnsi="Marianne"/>
          <w:sz w:val="20"/>
          <w:szCs w:val="20"/>
        </w:rPr>
      </w:pPr>
      <w:r w:rsidRPr="008D4BA4">
        <w:rPr>
          <w:rFonts w:ascii="Marianne" w:hAnsi="Marianne"/>
          <w:sz w:val="20"/>
          <w:szCs w:val="20"/>
        </w:rPr>
        <w:t>Parallèlement, le volet territorial</w:t>
      </w:r>
      <w:r w:rsidR="00FE2DA4" w:rsidRPr="008D4BA4">
        <w:rPr>
          <w:rFonts w:ascii="Marianne" w:hAnsi="Marianne"/>
          <w:sz w:val="20"/>
          <w:szCs w:val="20"/>
        </w:rPr>
        <w:t xml:space="preserve"> du plan est piloté</w:t>
      </w:r>
      <w:r w:rsidRPr="008D4BA4">
        <w:rPr>
          <w:rFonts w:ascii="Marianne" w:hAnsi="Marianne"/>
          <w:sz w:val="20"/>
          <w:szCs w:val="20"/>
        </w:rPr>
        <w:t xml:space="preserve"> par les Commissaires à la lutte contre la pauvreté grâce à des appels à projets régionaux</w:t>
      </w:r>
      <w:r w:rsidR="00FE2DA4" w:rsidRPr="008D4BA4">
        <w:rPr>
          <w:rFonts w:ascii="Marianne" w:hAnsi="Marianne"/>
          <w:sz w:val="20"/>
          <w:szCs w:val="20"/>
        </w:rPr>
        <w:t>,</w:t>
      </w:r>
      <w:r w:rsidRPr="008D4BA4">
        <w:rPr>
          <w:rFonts w:ascii="Marianne" w:hAnsi="Marianne"/>
          <w:sz w:val="20"/>
          <w:szCs w:val="20"/>
        </w:rPr>
        <w:t xml:space="preserve"> destinés à monter des partenariats spécifiques. Initié dès la fin 2020, ce volet a permis de financer </w:t>
      </w:r>
      <w:r w:rsidRPr="008D4BA4">
        <w:rPr>
          <w:rFonts w:ascii="Marianne" w:hAnsi="Marianne"/>
          <w:b/>
          <w:sz w:val="20"/>
          <w:szCs w:val="20"/>
        </w:rPr>
        <w:t>124 projets</w:t>
      </w:r>
      <w:r w:rsidRPr="008D4BA4">
        <w:rPr>
          <w:rFonts w:ascii="Marianne" w:hAnsi="Marianne"/>
          <w:sz w:val="20"/>
          <w:szCs w:val="20"/>
        </w:rPr>
        <w:t xml:space="preserve"> permettant environ </w:t>
      </w:r>
      <w:r w:rsidRPr="008D4BA4">
        <w:rPr>
          <w:rFonts w:ascii="Marianne" w:hAnsi="Marianne"/>
          <w:b/>
          <w:sz w:val="20"/>
          <w:szCs w:val="20"/>
        </w:rPr>
        <w:t>20 000 départs en formation</w:t>
      </w:r>
      <w:r w:rsidRPr="008D4BA4">
        <w:rPr>
          <w:rFonts w:ascii="Marianne" w:hAnsi="Marianne"/>
          <w:sz w:val="20"/>
          <w:szCs w:val="20"/>
        </w:rPr>
        <w:t>.</w:t>
      </w:r>
      <w:r w:rsidR="007E23E0">
        <w:rPr>
          <w:rFonts w:ascii="Marianne" w:hAnsi="Marianne"/>
          <w:sz w:val="20"/>
          <w:szCs w:val="20"/>
        </w:rPr>
        <w:t xml:space="preserve"> </w:t>
      </w:r>
      <w:r w:rsidR="002A6AE8">
        <w:rPr>
          <w:rFonts w:ascii="Marianne" w:hAnsi="Marianne"/>
          <w:sz w:val="20"/>
          <w:szCs w:val="20"/>
        </w:rPr>
        <w:t>La diversité des formations organisées a permis que</w:t>
      </w:r>
      <w:r w:rsidR="002A6AE8" w:rsidRPr="008D4BA4">
        <w:rPr>
          <w:rFonts w:ascii="Marianne" w:hAnsi="Marianne"/>
          <w:sz w:val="20"/>
          <w:szCs w:val="20"/>
        </w:rPr>
        <w:t xml:space="preserve"> l’ensemble des </w:t>
      </w:r>
      <w:r w:rsidR="002A6AE8">
        <w:rPr>
          <w:rFonts w:ascii="Marianne" w:hAnsi="Marianne"/>
          <w:sz w:val="20"/>
          <w:szCs w:val="20"/>
        </w:rPr>
        <w:t>thématiques du plan</w:t>
      </w:r>
      <w:r w:rsidR="002A6AE8" w:rsidRPr="008D4BA4">
        <w:rPr>
          <w:rFonts w:ascii="Marianne" w:hAnsi="Marianne"/>
          <w:sz w:val="20"/>
          <w:szCs w:val="20"/>
        </w:rPr>
        <w:t xml:space="preserve"> so</w:t>
      </w:r>
      <w:r w:rsidR="002A6AE8">
        <w:rPr>
          <w:rFonts w:ascii="Marianne" w:hAnsi="Marianne"/>
          <w:sz w:val="20"/>
          <w:szCs w:val="20"/>
        </w:rPr>
        <w:t>ie</w:t>
      </w:r>
      <w:r w:rsidR="002A6AE8" w:rsidRPr="008D4BA4">
        <w:rPr>
          <w:rFonts w:ascii="Marianne" w:hAnsi="Marianne"/>
          <w:sz w:val="20"/>
          <w:szCs w:val="20"/>
        </w:rPr>
        <w:t xml:space="preserve">nt couvertes, y compris le sujet plus récent du numérique. </w:t>
      </w:r>
    </w:p>
    <w:p w14:paraId="76BDE820" w14:textId="77777777" w:rsidR="00507F94" w:rsidRPr="008D4BA4" w:rsidRDefault="00507F94" w:rsidP="00946798">
      <w:pPr>
        <w:ind w:left="567" w:right="425"/>
        <w:jc w:val="both"/>
        <w:rPr>
          <w:rFonts w:ascii="Marianne" w:hAnsi="Marianne"/>
          <w:sz w:val="20"/>
          <w:szCs w:val="20"/>
        </w:rPr>
      </w:pPr>
    </w:p>
    <w:p w14:paraId="6E7F1BFE" w14:textId="77777777" w:rsidR="003855AD" w:rsidRPr="008D4BA4" w:rsidRDefault="003855AD" w:rsidP="00946798">
      <w:pPr>
        <w:ind w:left="567" w:right="425"/>
        <w:jc w:val="both"/>
        <w:rPr>
          <w:rFonts w:ascii="Marianne" w:hAnsi="Marianne"/>
          <w:sz w:val="20"/>
          <w:szCs w:val="20"/>
        </w:rPr>
      </w:pPr>
    </w:p>
    <w:p w14:paraId="1D61CF98" w14:textId="77777777" w:rsidR="00507F94" w:rsidRPr="008D4BA4" w:rsidRDefault="003855AD" w:rsidP="00946798">
      <w:pPr>
        <w:ind w:left="567" w:right="425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 ce jour</w:t>
      </w:r>
      <w:r w:rsidR="00F55CBB" w:rsidRPr="008D4BA4">
        <w:rPr>
          <w:rFonts w:ascii="Marianne" w:hAnsi="Marianne"/>
          <w:sz w:val="20"/>
          <w:szCs w:val="20"/>
        </w:rPr>
        <w:t xml:space="preserve">, </w:t>
      </w:r>
      <w:r w:rsidR="00F55CBB" w:rsidRPr="008D4BA4">
        <w:rPr>
          <w:rFonts w:ascii="Marianne" w:hAnsi="Marianne"/>
          <w:b/>
          <w:sz w:val="20"/>
          <w:szCs w:val="20"/>
        </w:rPr>
        <w:t>40 000 professionnels</w:t>
      </w:r>
      <w:r w:rsidR="00F55CBB" w:rsidRPr="008D4BA4">
        <w:rPr>
          <w:rFonts w:ascii="Marianne" w:hAnsi="Marianne"/>
          <w:sz w:val="20"/>
          <w:szCs w:val="20"/>
        </w:rPr>
        <w:t xml:space="preserve"> ont bénéficié d’une formation</w:t>
      </w:r>
      <w:r>
        <w:rPr>
          <w:rFonts w:ascii="Marianne" w:hAnsi="Marianne"/>
          <w:sz w:val="20"/>
          <w:szCs w:val="20"/>
        </w:rPr>
        <w:t>.</w:t>
      </w:r>
    </w:p>
    <w:p w14:paraId="4C65B87C" w14:textId="77777777" w:rsidR="003855AD" w:rsidRDefault="003855AD" w:rsidP="00946798">
      <w:pPr>
        <w:ind w:left="567" w:right="425"/>
        <w:jc w:val="both"/>
        <w:rPr>
          <w:rFonts w:ascii="Marianne" w:hAnsi="Marianne"/>
          <w:sz w:val="20"/>
          <w:szCs w:val="20"/>
        </w:rPr>
      </w:pPr>
    </w:p>
    <w:p w14:paraId="756344B6" w14:textId="6D00EEFA" w:rsidR="003855AD" w:rsidRDefault="00F55CBB" w:rsidP="00946798">
      <w:pPr>
        <w:ind w:left="567" w:right="425"/>
        <w:jc w:val="both"/>
        <w:rPr>
          <w:rFonts w:ascii="Marianne" w:hAnsi="Marianne"/>
          <w:sz w:val="20"/>
          <w:szCs w:val="20"/>
        </w:rPr>
      </w:pPr>
      <w:r w:rsidRPr="008D4BA4">
        <w:rPr>
          <w:rFonts w:ascii="Marianne" w:hAnsi="Marianne"/>
          <w:b/>
          <w:sz w:val="20"/>
          <w:szCs w:val="20"/>
        </w:rPr>
        <w:t>47%</w:t>
      </w:r>
      <w:r w:rsidRPr="008D4BA4">
        <w:rPr>
          <w:rFonts w:ascii="Marianne" w:hAnsi="Marianne"/>
          <w:sz w:val="20"/>
          <w:szCs w:val="20"/>
        </w:rPr>
        <w:t xml:space="preserve"> des départs comptabilisés dans le volet national et </w:t>
      </w:r>
      <w:r w:rsidRPr="008D4BA4">
        <w:rPr>
          <w:rFonts w:ascii="Marianne" w:hAnsi="Marianne"/>
          <w:b/>
          <w:sz w:val="20"/>
          <w:szCs w:val="20"/>
        </w:rPr>
        <w:t>35%</w:t>
      </w:r>
      <w:r w:rsidRPr="008D4BA4">
        <w:rPr>
          <w:rFonts w:ascii="Marianne" w:hAnsi="Marianne"/>
          <w:sz w:val="20"/>
          <w:szCs w:val="20"/>
        </w:rPr>
        <w:t xml:space="preserve"> des projets financés dans le cadre du volet territorial concernent les assistantes maternelles et les garde</w:t>
      </w:r>
      <w:r w:rsidR="00AA00E9">
        <w:rPr>
          <w:rFonts w:ascii="Marianne" w:hAnsi="Marianne"/>
          <w:sz w:val="20"/>
          <w:szCs w:val="20"/>
        </w:rPr>
        <w:t>s d’enfant</w:t>
      </w:r>
      <w:r w:rsidRPr="008D4BA4">
        <w:rPr>
          <w:rFonts w:ascii="Marianne" w:hAnsi="Marianne"/>
          <w:sz w:val="20"/>
          <w:szCs w:val="20"/>
        </w:rPr>
        <w:t xml:space="preserve"> à domicile</w:t>
      </w:r>
      <w:r w:rsidR="00AA00E9">
        <w:rPr>
          <w:rFonts w:ascii="Marianne" w:hAnsi="Marianne"/>
          <w:sz w:val="20"/>
          <w:szCs w:val="20"/>
        </w:rPr>
        <w:t>.</w:t>
      </w:r>
      <w:r w:rsidRPr="008D4BA4">
        <w:rPr>
          <w:rFonts w:ascii="Marianne" w:hAnsi="Marianne"/>
          <w:sz w:val="20"/>
          <w:szCs w:val="20"/>
        </w:rPr>
        <w:t xml:space="preserve"> </w:t>
      </w:r>
    </w:p>
    <w:p w14:paraId="7C4FE7E2" w14:textId="77777777" w:rsidR="003855AD" w:rsidRDefault="003855AD" w:rsidP="00946798">
      <w:pPr>
        <w:ind w:left="567" w:right="425"/>
        <w:jc w:val="both"/>
        <w:rPr>
          <w:rFonts w:ascii="Marianne" w:hAnsi="Marianne"/>
          <w:sz w:val="20"/>
          <w:szCs w:val="20"/>
        </w:rPr>
      </w:pPr>
    </w:p>
    <w:p w14:paraId="61F5C019" w14:textId="77777777" w:rsidR="003855AD" w:rsidRDefault="003855AD" w:rsidP="00946798">
      <w:pPr>
        <w:ind w:left="567" w:right="425"/>
        <w:jc w:val="both"/>
        <w:rPr>
          <w:rFonts w:ascii="Marianne" w:hAnsi="Marianne"/>
          <w:sz w:val="20"/>
          <w:szCs w:val="20"/>
        </w:rPr>
      </w:pPr>
    </w:p>
    <w:p w14:paraId="019A6EF8" w14:textId="77777777" w:rsidR="00E104FE" w:rsidRPr="008D4BA4" w:rsidRDefault="00E104FE" w:rsidP="00946798">
      <w:pPr>
        <w:ind w:left="567" w:right="425"/>
        <w:jc w:val="both"/>
        <w:rPr>
          <w:rFonts w:ascii="Marianne" w:hAnsi="Marianne"/>
          <w:sz w:val="20"/>
          <w:szCs w:val="20"/>
        </w:rPr>
      </w:pPr>
    </w:p>
    <w:p w14:paraId="1C9FC782" w14:textId="77777777" w:rsidR="00634DBB" w:rsidRDefault="00634DBB" w:rsidP="00946798">
      <w:pPr>
        <w:ind w:left="567" w:right="425"/>
      </w:pPr>
    </w:p>
    <w:p w14:paraId="38B58E89" w14:textId="77777777" w:rsidR="00FA76D7" w:rsidRDefault="00FA76D7" w:rsidP="00946798">
      <w:pPr>
        <w:ind w:left="567"/>
      </w:pPr>
    </w:p>
    <w:p w14:paraId="2829E79D" w14:textId="77777777" w:rsidR="003855AD" w:rsidRPr="003855AD" w:rsidRDefault="00FA76D7" w:rsidP="00946798">
      <w:pPr>
        <w:ind w:left="709" w:right="425"/>
        <w:jc w:val="center"/>
        <w:rPr>
          <w:rFonts w:ascii="Marianne" w:hAnsi="Marianne"/>
          <w:sz w:val="18"/>
          <w:szCs w:val="20"/>
        </w:rPr>
      </w:pPr>
      <w:r w:rsidRPr="003855AD">
        <w:rPr>
          <w:rFonts w:ascii="Marianne" w:hAnsi="Marianne"/>
          <w:i/>
          <w:iCs/>
          <w:sz w:val="18"/>
          <w:szCs w:val="20"/>
        </w:rPr>
        <w:t xml:space="preserve">Pour en savoir plus, accédez au </w:t>
      </w:r>
      <w:r w:rsidRPr="003855AD">
        <w:rPr>
          <w:rFonts w:ascii="Marianne" w:hAnsi="Marianne"/>
          <w:i/>
          <w:sz w:val="18"/>
          <w:szCs w:val="20"/>
        </w:rPr>
        <w:t>site internet de la stratégie pauvreté</w:t>
      </w:r>
    </w:p>
    <w:p w14:paraId="6AA738EA" w14:textId="77777777" w:rsidR="007E3699" w:rsidRPr="00946798" w:rsidRDefault="00397475" w:rsidP="00946798">
      <w:pPr>
        <w:ind w:left="709" w:right="425"/>
        <w:jc w:val="center"/>
        <w:rPr>
          <w:rFonts w:ascii="Marianne" w:hAnsi="Marianne"/>
          <w:sz w:val="18"/>
          <w:szCs w:val="20"/>
        </w:rPr>
      </w:pPr>
      <w:hyperlink r:id="rId9" w:history="1">
        <w:r w:rsidR="007E3699" w:rsidRPr="00946798">
          <w:rPr>
            <w:rStyle w:val="Lienhypertexte"/>
            <w:rFonts w:ascii="Marianne" w:hAnsi="Marianne"/>
            <w:color w:val="auto"/>
            <w:sz w:val="18"/>
            <w:szCs w:val="20"/>
          </w:rPr>
          <w:t>Déployer le plan de formation des professionnels de la petite enfance - Ministère des Solidarités et de la Santé (solidarites-sante.gouv.fr)</w:t>
        </w:r>
      </w:hyperlink>
    </w:p>
    <w:p w14:paraId="2C3F62C5" w14:textId="77777777" w:rsidR="007E3699" w:rsidRPr="003855AD" w:rsidRDefault="007E3699" w:rsidP="00946798">
      <w:pPr>
        <w:ind w:left="709" w:right="425"/>
        <w:jc w:val="both"/>
        <w:rPr>
          <w:rFonts w:ascii="Marianne" w:hAnsi="Marianne"/>
          <w:sz w:val="22"/>
          <w:szCs w:val="22"/>
        </w:rPr>
      </w:pPr>
    </w:p>
    <w:p w14:paraId="16BCD96A" w14:textId="77777777" w:rsidR="007E3699" w:rsidRPr="005559A4" w:rsidRDefault="007E3699" w:rsidP="00946798">
      <w:pPr>
        <w:autoSpaceDE w:val="0"/>
        <w:autoSpaceDN w:val="0"/>
        <w:adjustRightInd w:val="0"/>
        <w:ind w:left="709" w:right="425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65ED73AC" w14:textId="77777777" w:rsidR="00217DFF" w:rsidRPr="007E23E0" w:rsidRDefault="007E3699" w:rsidP="00946798">
      <w:pPr>
        <w:autoSpaceDE w:val="0"/>
        <w:autoSpaceDN w:val="0"/>
        <w:adjustRightInd w:val="0"/>
        <w:ind w:left="709" w:right="425"/>
        <w:jc w:val="center"/>
        <w:rPr>
          <w:rFonts w:ascii="Marianne" w:hAnsi="Marianne" w:cstheme="minorHAnsi"/>
          <w:sz w:val="20"/>
          <w:szCs w:val="20"/>
        </w:rPr>
      </w:pPr>
      <w:r w:rsidRPr="007E23E0">
        <w:rPr>
          <w:rFonts w:ascii="Marianne" w:hAnsi="Marianne" w:cstheme="minorHAnsi"/>
          <w:b/>
          <w:sz w:val="20"/>
          <w:szCs w:val="20"/>
        </w:rPr>
        <w:t xml:space="preserve">Contact presse </w:t>
      </w:r>
      <w:r w:rsidR="003855AD" w:rsidRPr="007E23E0">
        <w:rPr>
          <w:rFonts w:ascii="Marianne" w:hAnsi="Marianne" w:cstheme="minorHAnsi"/>
          <w:sz w:val="20"/>
          <w:szCs w:val="20"/>
        </w:rPr>
        <w:t xml:space="preserve">: </w:t>
      </w:r>
    </w:p>
    <w:p w14:paraId="617B8837" w14:textId="3A9AF6A2" w:rsidR="00217DFF" w:rsidRPr="007E23E0" w:rsidRDefault="00217DFF" w:rsidP="00946798">
      <w:pPr>
        <w:autoSpaceDE w:val="0"/>
        <w:autoSpaceDN w:val="0"/>
        <w:adjustRightInd w:val="0"/>
        <w:ind w:left="709" w:right="425"/>
        <w:jc w:val="center"/>
        <w:rPr>
          <w:rFonts w:ascii="Marianne" w:hAnsi="Marianne" w:cstheme="minorHAnsi"/>
          <w:sz w:val="20"/>
          <w:szCs w:val="20"/>
        </w:rPr>
      </w:pPr>
      <w:r w:rsidRPr="007E23E0">
        <w:rPr>
          <w:rFonts w:ascii="Marianne" w:hAnsi="Marianne" w:cstheme="minorHAnsi"/>
          <w:sz w:val="20"/>
          <w:szCs w:val="20"/>
        </w:rPr>
        <w:t>sec.presse.enfanc</w:t>
      </w:r>
      <w:r w:rsidR="007E23E0" w:rsidRPr="007E23E0">
        <w:rPr>
          <w:rFonts w:ascii="Marianne" w:hAnsi="Marianne" w:cstheme="minorHAnsi"/>
          <w:sz w:val="20"/>
          <w:szCs w:val="20"/>
        </w:rPr>
        <w:t>e@sante.gouv.fr</w:t>
      </w:r>
    </w:p>
    <w:p w14:paraId="5B25940C" w14:textId="77777777" w:rsidR="00FA76D7" w:rsidRPr="007E23E0" w:rsidRDefault="003855AD" w:rsidP="00946798">
      <w:pPr>
        <w:autoSpaceDE w:val="0"/>
        <w:autoSpaceDN w:val="0"/>
        <w:adjustRightInd w:val="0"/>
        <w:ind w:left="709" w:right="425"/>
        <w:jc w:val="center"/>
        <w:rPr>
          <w:rFonts w:ascii="Marianne" w:hAnsi="Marianne" w:cstheme="minorHAnsi"/>
          <w:sz w:val="20"/>
          <w:szCs w:val="20"/>
        </w:rPr>
      </w:pPr>
      <w:r w:rsidRPr="007E23E0">
        <w:rPr>
          <w:rFonts w:ascii="Marianne" w:hAnsi="Marianne" w:cstheme="minorHAnsi"/>
          <w:sz w:val="20"/>
          <w:szCs w:val="20"/>
        </w:rPr>
        <w:t>sec.presse.pauvrete</w:t>
      </w:r>
      <w:r w:rsidR="00FA76D7" w:rsidRPr="007E23E0">
        <w:rPr>
          <w:rFonts w:ascii="Marianne" w:hAnsi="Marianne" w:cstheme="minorHAnsi"/>
          <w:sz w:val="20"/>
          <w:szCs w:val="20"/>
        </w:rPr>
        <w:t>@sante.gouv.fr</w:t>
      </w:r>
    </w:p>
    <w:p w14:paraId="4BAD8A0B" w14:textId="77777777" w:rsidR="00AA7140" w:rsidRPr="007E23E0" w:rsidRDefault="00AA7140" w:rsidP="00946798">
      <w:pPr>
        <w:ind w:left="709" w:right="425"/>
        <w:rPr>
          <w:rFonts w:ascii="Marianne" w:hAnsi="Marianne"/>
          <w:sz w:val="20"/>
          <w:szCs w:val="20"/>
        </w:rPr>
      </w:pPr>
    </w:p>
    <w:sectPr w:rsidR="00AA7140" w:rsidRPr="007E23E0" w:rsidSect="00946798">
      <w:headerReference w:type="first" r:id="rId10"/>
      <w:footerReference w:type="first" r:id="rId11"/>
      <w:pgSz w:w="11906" w:h="16838"/>
      <w:pgMar w:top="851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02CDB" w14:textId="77777777" w:rsidR="00397475" w:rsidRDefault="00397475" w:rsidP="009E13C1">
      <w:r>
        <w:separator/>
      </w:r>
    </w:p>
  </w:endnote>
  <w:endnote w:type="continuationSeparator" w:id="0">
    <w:p w14:paraId="770172C9" w14:textId="77777777" w:rsidR="00397475" w:rsidRDefault="00397475" w:rsidP="009E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F5CC" w14:textId="77777777" w:rsidR="00946798" w:rsidRPr="007E23E0" w:rsidRDefault="00946798" w:rsidP="00946798">
    <w:pPr>
      <w:pStyle w:val="Paragraphedeliste"/>
      <w:tabs>
        <w:tab w:val="right" w:pos="8789"/>
      </w:tabs>
      <w:ind w:left="567" w:right="283"/>
      <w:jc w:val="both"/>
      <w:rPr>
        <w:rFonts w:ascii="Marianne" w:hAnsi="Marianne" w:cs="Arial"/>
        <w:sz w:val="18"/>
        <w:szCs w:val="18"/>
      </w:rPr>
    </w:pPr>
    <w:r w:rsidRPr="007E23E0">
      <w:rPr>
        <w:rFonts w:ascii="Marianne" w:hAnsi="Marianne"/>
        <w:sz w:val="18"/>
        <w:szCs w:val="18"/>
      </w:rPr>
      <w:t>*</w:t>
    </w:r>
    <w:r w:rsidRPr="007E23E0">
      <w:rPr>
        <w:rFonts w:ascii="Marianne" w:hAnsi="Marianne" w:cs="Arial"/>
        <w:b/>
        <w:bCs/>
        <w:sz w:val="18"/>
        <w:szCs w:val="18"/>
      </w:rPr>
      <w:t xml:space="preserve"> </w:t>
    </w:r>
    <w:r w:rsidRPr="007E23E0">
      <w:rPr>
        <w:rFonts w:ascii="Marianne" w:hAnsi="Marianne" w:cs="Arial"/>
        <w:bCs/>
        <w:sz w:val="18"/>
        <w:szCs w:val="18"/>
      </w:rPr>
      <w:t>Le langage</w:t>
    </w:r>
    <w:r w:rsidRPr="007E23E0">
      <w:rPr>
        <w:rFonts w:ascii="Marianne" w:hAnsi="Marianne" w:cs="Calibri"/>
        <w:bCs/>
        <w:sz w:val="18"/>
        <w:szCs w:val="18"/>
      </w:rPr>
      <w:t>, l</w:t>
    </w:r>
    <w:r w:rsidRPr="007E23E0">
      <w:rPr>
        <w:rFonts w:ascii="Marianne" w:hAnsi="Marianne" w:cs="Arial"/>
        <w:bCs/>
        <w:sz w:val="18"/>
        <w:szCs w:val="18"/>
      </w:rPr>
      <w:t>’alimentation et la nature</w:t>
    </w:r>
    <w:r w:rsidRPr="007E23E0">
      <w:rPr>
        <w:rFonts w:ascii="Marianne" w:hAnsi="Marianne" w:cs="Calibri"/>
        <w:bCs/>
        <w:sz w:val="18"/>
        <w:szCs w:val="18"/>
      </w:rPr>
      <w:t>, l</w:t>
    </w:r>
    <w:r w:rsidRPr="007E23E0">
      <w:rPr>
        <w:rFonts w:ascii="Marianne" w:hAnsi="Marianne" w:cs="Arial"/>
        <w:bCs/>
        <w:sz w:val="18"/>
        <w:szCs w:val="18"/>
      </w:rPr>
      <w:t>’art et la culture</w:t>
    </w:r>
    <w:r w:rsidRPr="007E23E0">
      <w:rPr>
        <w:rFonts w:ascii="Marianne" w:hAnsi="Marianne" w:cs="Calibri"/>
        <w:bCs/>
        <w:sz w:val="18"/>
        <w:szCs w:val="18"/>
      </w:rPr>
      <w:t>, l</w:t>
    </w:r>
    <w:r w:rsidRPr="007E23E0">
      <w:rPr>
        <w:rFonts w:ascii="Marianne" w:hAnsi="Marianne" w:cs="Arial"/>
        <w:bCs/>
        <w:sz w:val="18"/>
        <w:szCs w:val="18"/>
      </w:rPr>
      <w:t>’accueil occasionnel</w:t>
    </w:r>
    <w:r w:rsidRPr="007E23E0">
      <w:rPr>
        <w:rFonts w:ascii="Marianne" w:hAnsi="Marianne" w:cs="Calibri"/>
        <w:bCs/>
        <w:sz w:val="18"/>
        <w:szCs w:val="18"/>
      </w:rPr>
      <w:t>, l</w:t>
    </w:r>
    <w:r w:rsidRPr="007E23E0">
      <w:rPr>
        <w:rFonts w:ascii="Marianne" w:hAnsi="Marianne" w:cs="Arial"/>
        <w:bCs/>
        <w:sz w:val="18"/>
        <w:szCs w:val="18"/>
      </w:rPr>
      <w:t>a prévention des stéréotypes</w:t>
    </w:r>
    <w:r w:rsidRPr="007E23E0">
      <w:rPr>
        <w:rFonts w:ascii="Marianne" w:hAnsi="Marianne" w:cs="Calibri"/>
        <w:bCs/>
        <w:sz w:val="18"/>
        <w:szCs w:val="18"/>
      </w:rPr>
      <w:t>, l</w:t>
    </w:r>
    <w:r w:rsidRPr="007E23E0">
      <w:rPr>
        <w:rFonts w:ascii="Marianne" w:hAnsi="Marianne" w:cs="Arial"/>
        <w:bCs/>
        <w:sz w:val="18"/>
        <w:szCs w:val="18"/>
      </w:rPr>
      <w:t>’accueil des parents, le numérique.</w:t>
    </w:r>
  </w:p>
  <w:p w14:paraId="060880E2" w14:textId="77777777" w:rsidR="003855AD" w:rsidRDefault="003855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A7F6B" w14:textId="77777777" w:rsidR="00397475" w:rsidRDefault="00397475" w:rsidP="009E13C1">
      <w:r>
        <w:separator/>
      </w:r>
    </w:p>
  </w:footnote>
  <w:footnote w:type="continuationSeparator" w:id="0">
    <w:p w14:paraId="7ADDE7A4" w14:textId="77777777" w:rsidR="00397475" w:rsidRDefault="00397475" w:rsidP="009E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4CAFD" w14:textId="77777777" w:rsidR="00946798" w:rsidRDefault="00946798" w:rsidP="00946798">
    <w:pPr>
      <w:pStyle w:val="En-tte"/>
      <w:tabs>
        <w:tab w:val="clear" w:pos="9072"/>
        <w:tab w:val="right" w:pos="8789"/>
      </w:tabs>
      <w:ind w:left="567" w:right="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156"/>
    <w:multiLevelType w:val="hybridMultilevel"/>
    <w:tmpl w:val="54C0C48A"/>
    <w:lvl w:ilvl="0" w:tplc="51E089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13CDE"/>
    <w:multiLevelType w:val="hybridMultilevel"/>
    <w:tmpl w:val="8384D376"/>
    <w:lvl w:ilvl="0" w:tplc="EFC05D88">
      <w:numFmt w:val="bullet"/>
      <w:lvlText w:val=""/>
      <w:lvlJc w:val="left"/>
      <w:pPr>
        <w:ind w:left="1146" w:hanging="360"/>
      </w:pPr>
      <w:rPr>
        <w:rFonts w:ascii="Wingdings" w:eastAsia="Wingdings" w:hAnsi="Wingdings" w:cs="Wingdings" w:hint="default"/>
        <w:color w:val="C00000"/>
        <w:w w:val="103"/>
        <w:sz w:val="17"/>
        <w:szCs w:val="17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89"/>
    <w:rsid w:val="0007541B"/>
    <w:rsid w:val="001C6B01"/>
    <w:rsid w:val="001C6F91"/>
    <w:rsid w:val="00217DFF"/>
    <w:rsid w:val="002579CA"/>
    <w:rsid w:val="002A6AE8"/>
    <w:rsid w:val="00361B0A"/>
    <w:rsid w:val="003855AD"/>
    <w:rsid w:val="00393BA4"/>
    <w:rsid w:val="00397475"/>
    <w:rsid w:val="00507F94"/>
    <w:rsid w:val="00557B5B"/>
    <w:rsid w:val="005E4AA3"/>
    <w:rsid w:val="00634DBB"/>
    <w:rsid w:val="0077739D"/>
    <w:rsid w:val="007E23E0"/>
    <w:rsid w:val="007E3699"/>
    <w:rsid w:val="00800CA7"/>
    <w:rsid w:val="008D4BA4"/>
    <w:rsid w:val="00900D8E"/>
    <w:rsid w:val="00946798"/>
    <w:rsid w:val="009A4E97"/>
    <w:rsid w:val="009D149E"/>
    <w:rsid w:val="009D576B"/>
    <w:rsid w:val="009E13C1"/>
    <w:rsid w:val="00AA00E9"/>
    <w:rsid w:val="00AA7140"/>
    <w:rsid w:val="00B95EAF"/>
    <w:rsid w:val="00C36746"/>
    <w:rsid w:val="00C67951"/>
    <w:rsid w:val="00D1597E"/>
    <w:rsid w:val="00D371B3"/>
    <w:rsid w:val="00D4084B"/>
    <w:rsid w:val="00DD3C2E"/>
    <w:rsid w:val="00E104FE"/>
    <w:rsid w:val="00E12918"/>
    <w:rsid w:val="00E675B0"/>
    <w:rsid w:val="00EA7244"/>
    <w:rsid w:val="00ED36F8"/>
    <w:rsid w:val="00F33C89"/>
    <w:rsid w:val="00F44715"/>
    <w:rsid w:val="00F55CBB"/>
    <w:rsid w:val="00FA76D7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71E71"/>
  <w15:chartTrackingRefBased/>
  <w15:docId w15:val="{E1A8ECC6-3147-4A1F-A38E-E9EE23D1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C8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C89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FA76D7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9E1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13C1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1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13C1"/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Bullet Niv 1,Listes,Inter2,Liste couleur - Accent 12,Normal bullet 2,Bullet list,List Paragraph1,List Paragraph11,Normal bullet 21,List Paragraph111,Bullet list1,Paragraph,Bullet point 1,Paragraphe,lp1,texte de base,Puce focus"/>
    <w:basedOn w:val="Normal"/>
    <w:link w:val="ParagraphedelisteCar"/>
    <w:uiPriority w:val="34"/>
    <w:qFormat/>
    <w:rsid w:val="009E13C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aragraphedelisteCar">
    <w:name w:val="Paragraphe de liste Car"/>
    <w:aliases w:val="Bullet Niv 1 Car,Listes Car,Inter2 Car,Liste couleur - Accent 12 Car,Normal bullet 2 Car,Bullet list Car,List Paragraph1 Car,List Paragraph11 Car,Normal bullet 21 Car,List Paragraph111 Car,Bullet list1 Car,Paragraph Car,lp1 Car"/>
    <w:basedOn w:val="Policepardfaut"/>
    <w:link w:val="Paragraphedeliste"/>
    <w:uiPriority w:val="34"/>
    <w:qFormat/>
    <w:locked/>
    <w:rsid w:val="009E13C1"/>
  </w:style>
  <w:style w:type="paragraph" w:styleId="Textedebulles">
    <w:name w:val="Balloon Text"/>
    <w:basedOn w:val="Normal"/>
    <w:link w:val="TextedebullesCar"/>
    <w:uiPriority w:val="99"/>
    <w:semiHidden/>
    <w:unhideWhenUsed/>
    <w:rsid w:val="002A6A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AE8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17D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7D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7DFF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7D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7DFF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7E23E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olidarites-sante.gouv.fr/affaires-sociales/lutte-contre-l-exclusion/lutte-pauvrete-gouv-fr/la-mise-en-oeuvre/assurer-l-egalite-des-chances-des-les-premiers-pas/article/deployer-le-plan-de-formation-des-professionnels-de-la-petite-enfa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PERRONE, Emma (DIPLP)</dc:creator>
  <cp:keywords/>
  <dc:description/>
  <cp:lastModifiedBy>RYCZEK, Boris (DICOM/INFLUENCE ET DIGITAL)</cp:lastModifiedBy>
  <cp:revision>4</cp:revision>
  <cp:lastPrinted>2021-12-09T15:20:00Z</cp:lastPrinted>
  <dcterms:created xsi:type="dcterms:W3CDTF">2021-12-09T15:19:00Z</dcterms:created>
  <dcterms:modified xsi:type="dcterms:W3CDTF">2021-12-13T11:17:00Z</dcterms:modified>
</cp:coreProperties>
</file>