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A09EBC" w14:textId="77777777" w:rsidR="005656F7" w:rsidRDefault="005656F7" w:rsidP="005656F7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3E054B">
        <w:rPr>
          <w:rFonts w:ascii="Georgia" w:eastAsia="Times New Roman" w:hAnsi="Georgia" w:cs="Times New Roman"/>
          <w:noProof/>
          <w:color w:val="7E7D78"/>
          <w:sz w:val="30"/>
          <w:szCs w:val="30"/>
          <w:shd w:val="clear" w:color="auto" w:fill="FFFFFF"/>
          <w:lang w:eastAsia="fr-FR"/>
        </w:rPr>
        <w:drawing>
          <wp:inline distT="0" distB="0" distL="0" distR="0" wp14:anchorId="7EC40065" wp14:editId="134DA5F5">
            <wp:extent cx="1678227" cy="1332000"/>
            <wp:effectExtent l="0" t="0" r="0" b="1905"/>
            <wp:docPr id="1" name="Image 1" descr="Ministère chargé de l'autonomie" title="Ministère chargé de l'autonom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Autonomie\Commun secrétaires ET membres de cabinets\SECRETARIAT COMMUNICATION-PRESSE\COM\CHARTE GRAPHIQUE\LOGOS\MIN_Charge_Autonomie\jpg\MIN_Autonomie_RVB_3_LIGNES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27" cy="133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F65F8C" w14:textId="77777777" w:rsidR="005656F7" w:rsidRDefault="005656F7" w:rsidP="005656F7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B6646">
        <w:rPr>
          <w:rStyle w:val="lev"/>
          <w:rFonts w:ascii="Arial" w:hAnsi="Arial" w:cs="Arial"/>
          <w:color w:val="000000"/>
          <w:sz w:val="24"/>
          <w:szCs w:val="24"/>
        </w:rPr>
        <w:t>COMMUNIQUÉ DE PRESSE</w:t>
      </w:r>
    </w:p>
    <w:p w14:paraId="44BC621D" w14:textId="77777777" w:rsidR="005656F7" w:rsidRDefault="005656F7" w:rsidP="005656F7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14:paraId="0A0CCDBA" w14:textId="77777777" w:rsidR="005656F7" w:rsidRDefault="005656F7" w:rsidP="005656F7">
      <w:pPr>
        <w:spacing w:after="0" w:line="240" w:lineRule="auto"/>
        <w:jc w:val="right"/>
        <w:rPr>
          <w:rStyle w:val="lev"/>
          <w:rFonts w:ascii="Arial" w:hAnsi="Arial" w:cs="Arial"/>
          <w:b w:val="0"/>
          <w:bCs w:val="0"/>
          <w:szCs w:val="20"/>
        </w:rPr>
      </w:pPr>
      <w:r w:rsidRPr="009C0B3F"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Lundi 13 décembre</w:t>
      </w:r>
      <w:r w:rsidRPr="009C0B3F">
        <w:rPr>
          <w:rFonts w:ascii="Arial" w:hAnsi="Arial" w:cs="Arial"/>
          <w:szCs w:val="20"/>
        </w:rPr>
        <w:t xml:space="preserve"> 2021</w:t>
      </w:r>
    </w:p>
    <w:p w14:paraId="283D0E39" w14:textId="77777777" w:rsidR="005656F7" w:rsidRPr="00D175E2" w:rsidRDefault="005656F7" w:rsidP="005656F7">
      <w:pPr>
        <w:spacing w:after="0" w:line="240" w:lineRule="auto"/>
        <w:jc w:val="right"/>
        <w:rPr>
          <w:rFonts w:ascii="Arial" w:hAnsi="Arial" w:cs="Arial"/>
          <w:szCs w:val="20"/>
        </w:rPr>
      </w:pPr>
    </w:p>
    <w:p w14:paraId="49575648" w14:textId="77777777" w:rsidR="005656F7" w:rsidRPr="00E64F6F" w:rsidRDefault="00C73794" w:rsidP="005656F7">
      <w:pPr>
        <w:spacing w:after="0" w:line="240" w:lineRule="auto"/>
        <w:jc w:val="center"/>
        <w:rPr>
          <w:rStyle w:val="lev"/>
          <w:rFonts w:ascii="Arial" w:hAnsi="Arial" w:cs="Arial"/>
          <w:color w:val="000000"/>
          <w:sz w:val="32"/>
        </w:rPr>
      </w:pPr>
      <w:r w:rsidRPr="00E64F6F">
        <w:rPr>
          <w:rStyle w:val="lev"/>
          <w:rFonts w:ascii="Arial" w:hAnsi="Arial" w:cs="Arial"/>
          <w:color w:val="000000"/>
          <w:sz w:val="32"/>
        </w:rPr>
        <w:t>Rapport Jeandel/Guérin</w:t>
      </w:r>
    </w:p>
    <w:p w14:paraId="3695DD20" w14:textId="6428B715" w:rsidR="00C73794" w:rsidRPr="00363F2C" w:rsidRDefault="005656F7" w:rsidP="005656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363F2C">
        <w:rPr>
          <w:rFonts w:ascii="Arial" w:hAnsi="Arial" w:cs="Arial"/>
          <w:b/>
          <w:sz w:val="28"/>
          <w:szCs w:val="28"/>
        </w:rPr>
        <w:t>Préfigurati</w:t>
      </w:r>
      <w:r w:rsidR="00FE4415" w:rsidRPr="00363F2C">
        <w:rPr>
          <w:rFonts w:ascii="Arial" w:hAnsi="Arial" w:cs="Arial"/>
          <w:b/>
          <w:sz w:val="28"/>
          <w:szCs w:val="28"/>
        </w:rPr>
        <w:t>on de la feuille de route EHPAD 2021-2023</w:t>
      </w:r>
      <w:r w:rsidR="00C73794" w:rsidRPr="00363F2C">
        <w:rPr>
          <w:rFonts w:ascii="Arial" w:hAnsi="Arial" w:cs="Arial"/>
          <w:b/>
          <w:sz w:val="28"/>
          <w:szCs w:val="28"/>
        </w:rPr>
        <w:t xml:space="preserve"> : </w:t>
      </w:r>
    </w:p>
    <w:p w14:paraId="2E50EDB7" w14:textId="77777777" w:rsidR="00C73794" w:rsidRPr="00363F2C" w:rsidRDefault="00C73794" w:rsidP="005656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63F2C">
        <w:rPr>
          <w:rFonts w:ascii="Arial" w:hAnsi="Arial" w:cs="Arial"/>
          <w:b/>
          <w:sz w:val="28"/>
          <w:szCs w:val="28"/>
        </w:rPr>
        <w:t>vers</w:t>
      </w:r>
      <w:proofErr w:type="gramEnd"/>
      <w:r w:rsidRPr="00363F2C">
        <w:rPr>
          <w:rFonts w:ascii="Arial" w:hAnsi="Arial" w:cs="Arial"/>
          <w:b/>
          <w:sz w:val="28"/>
          <w:szCs w:val="28"/>
        </w:rPr>
        <w:t xml:space="preserve"> une plus grande médicalisation des EHPAD </w:t>
      </w:r>
    </w:p>
    <w:p w14:paraId="71BC5E31" w14:textId="77777777" w:rsidR="005656F7" w:rsidRPr="00363F2C" w:rsidRDefault="00C73794" w:rsidP="005656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363F2C">
        <w:rPr>
          <w:rFonts w:ascii="Arial" w:hAnsi="Arial" w:cs="Arial"/>
          <w:b/>
          <w:sz w:val="28"/>
          <w:szCs w:val="28"/>
        </w:rPr>
        <w:t>pour</w:t>
      </w:r>
      <w:proofErr w:type="gramEnd"/>
      <w:r w:rsidRPr="00363F2C">
        <w:rPr>
          <w:rFonts w:ascii="Arial" w:hAnsi="Arial" w:cs="Arial"/>
          <w:b/>
          <w:sz w:val="28"/>
          <w:szCs w:val="28"/>
        </w:rPr>
        <w:t xml:space="preserve"> faire face au défi de la grande dépendance</w:t>
      </w:r>
    </w:p>
    <w:p w14:paraId="62768066" w14:textId="77777777" w:rsidR="00EB3800" w:rsidRDefault="00EB3800" w:rsidP="005656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14:paraId="7728B9F8" w14:textId="77777777" w:rsidR="000E460F" w:rsidRDefault="000E460F" w:rsidP="000E460F">
      <w:pPr>
        <w:pStyle w:val="NormalWeb"/>
        <w:spacing w:before="0" w:beforeAutospacing="0" w:after="0" w:afterAutospacing="0"/>
        <w:jc w:val="both"/>
        <w:rPr>
          <w:rFonts w:ascii="Arial" w:eastAsiaTheme="minorHAnsi" w:hAnsi="Arial" w:cs="Arial"/>
          <w:sz w:val="22"/>
          <w:szCs w:val="22"/>
          <w:shd w:val="clear" w:color="auto" w:fill="FFFFFF"/>
          <w:lang w:eastAsia="en-US"/>
        </w:rPr>
      </w:pPr>
    </w:p>
    <w:p w14:paraId="70735507" w14:textId="6F718157" w:rsidR="005656F7" w:rsidRDefault="005656F7" w:rsidP="000E46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Ce lundi 13 décembre, </w:t>
      </w:r>
      <w:r w:rsidR="000E460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dans le cadre de l’inauguration de l’EHPAD « La </w:t>
      </w:r>
      <w:proofErr w:type="spellStart"/>
      <w:r w:rsidR="000E460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Mésangerie</w:t>
      </w:r>
      <w:proofErr w:type="spellEnd"/>
      <w:r w:rsidR="000E460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 » à Maule, la ministre déléguée à l’Autonomie, Brigitte Bourguignon, a annoncé la publication prochaine de la feuille de route ministérielle visant à une plus grande médicalisation des EHPAD</w:t>
      </w:r>
      <w:r w:rsidR="00C7379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. Cette stratégie fait suite aux enseignements de la crise et à la volonté d’orienter les EHP</w:t>
      </w:r>
      <w:r w:rsidR="00911A88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AD dans l’accompagnement d</w:t>
      </w:r>
      <w:r w:rsidR="00C73794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>es personnes âgées en grande perte d’autonomie.</w:t>
      </w:r>
      <w:r w:rsidR="000E460F"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1391EA27" w14:textId="77777777" w:rsidR="000E460F" w:rsidRDefault="000E460F" w:rsidP="000E460F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</w:p>
    <w:p w14:paraId="5FD09057" w14:textId="7662BAED" w:rsidR="00187948" w:rsidRDefault="000E460F" w:rsidP="000E460F">
      <w:pPr>
        <w:pStyle w:val="NormalWeb"/>
        <w:spacing w:before="0" w:beforeAutospacing="0" w:after="240" w:afterAutospacing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Cette f</w:t>
      </w:r>
      <w:r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euille de route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« EHPAD »</w:t>
      </w:r>
      <w:r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a pour objectif </w:t>
      </w:r>
      <w:r w:rsidR="00C7379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de définir la vision stratégique concernant les établissements pour personnes âgées et </w:t>
      </w:r>
      <w:r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de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donner de la visibilité aux acteurs du secteur </w:t>
      </w:r>
      <w:r w:rsidR="00C7379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sur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les chantiers des prochains mois</w:t>
      </w:r>
      <w:r w:rsidR="00C7379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  <w:r w:rsidR="00363F2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C73794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Cette projection s’inscrit</w:t>
      </w:r>
      <w:r w:rsidR="00363F2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dans 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la continuité des mesures importantes qui ont été décidé</w:t>
      </w:r>
      <w:r w:rsidR="00363F2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es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dans le cadre de la </w:t>
      </w:r>
      <w:r w:rsidR="00363F2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loi de financement de la sécurité sociale (LFSS) pour 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2022.</w:t>
      </w:r>
    </w:p>
    <w:p w14:paraId="5F3E3FF5" w14:textId="516E8059" w:rsidR="000E460F" w:rsidRPr="000E460F" w:rsidRDefault="00C73794" w:rsidP="000E460F">
      <w:pPr>
        <w:pStyle w:val="NormalWeb"/>
        <w:spacing w:before="0" w:beforeAutospacing="0" w:after="240" w:afterAutospacing="0"/>
        <w:jc w:val="both"/>
        <w:rPr>
          <w:rFonts w:ascii="Arial" w:hAnsi="Arial" w:cs="Arial"/>
          <w:b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La</w:t>
      </w:r>
      <w:r w:rsid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feuille de route vise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à 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tirer les enseignements 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de la crise sanitaire et des nombreuses visites de terrain et entretien</w:t>
      </w:r>
      <w:r w:rsidR="00363F2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s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de la Ministre avec le secteur. Elle s’appuiera en particulier sur l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es recommandations du rapport de mission sur les profils de soins en USLD et EHPAD rem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is le 5 juillet 2021 par les Professeurs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Claude Jeandel et Olivier Guérin, </w:t>
      </w:r>
      <w:r w:rsidR="00363F2C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à la suite de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la lettre co-signée le 31 août 2020 par la </w:t>
      </w:r>
      <w:r w:rsidR="003D7205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D</w:t>
      </w:r>
      <w:r w:rsidR="003D720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irection générale de l’offre de soins (D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GOS</w:t>
      </w:r>
      <w:r w:rsidR="003D720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)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et la D</w:t>
      </w:r>
      <w:r w:rsidR="003D720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irection générale de la cohésion sociale (D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GCS</w:t>
      </w:r>
      <w:r w:rsidR="003D720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)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  <w:r w:rsidR="0018794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</w:p>
    <w:p w14:paraId="7228787C" w14:textId="1465A099" w:rsidR="002910DB" w:rsidRDefault="00925DBD" w:rsidP="00240638">
      <w:pPr>
        <w:pStyle w:val="NormalWeb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Elle 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propose</w:t>
      </w:r>
      <w:r w:rsid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ra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l’évolution des réponses sanitaires et médico-sociales dès lors que le maintien au domicile n’est plus possible. </w:t>
      </w:r>
    </w:p>
    <w:p w14:paraId="3E7A9777" w14:textId="7CE32576" w:rsidR="00363F2C" w:rsidRDefault="00363F2C" w:rsidP="00363F2C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363F2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La r</w:t>
      </w:r>
      <w:r w:rsidR="00911A88" w:rsidRPr="00363F2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éponse</w:t>
      </w:r>
      <w:r w:rsidRPr="00363F2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</w:t>
      </w:r>
      <w:r w:rsidR="00911A88" w:rsidRPr="00363F2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aux profils </w:t>
      </w:r>
      <w:proofErr w:type="spellStart"/>
      <w:r w:rsidR="00911A88" w:rsidRPr="00363F2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polypathologiques</w:t>
      </w:r>
      <w:proofErr w:type="spellEnd"/>
      <w:r w:rsidR="00911A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63F2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sym w:font="Wingdings" w:char="F0E0"/>
      </w:r>
      <w:r w:rsidR="00911A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Elle porte</w:t>
      </w:r>
      <w:r w:rsid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ra</w:t>
      </w:r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également sur la réponse apportée par le secteur sanitaire à des personnes de tout âge qui présentent des profils </w:t>
      </w:r>
      <w:proofErr w:type="spellStart"/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polypathologiques</w:t>
      </w:r>
      <w:proofErr w:type="spellEnd"/>
      <w:r w:rsidR="000E460F" w:rsidRPr="000E460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et ne pouvant demeurer à domicile.</w:t>
      </w:r>
    </w:p>
    <w:p w14:paraId="30539EB1" w14:textId="0175A81D" w:rsidR="002910DB" w:rsidRDefault="00363F2C" w:rsidP="00363F2C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363F2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L’o</w:t>
      </w:r>
      <w:r w:rsidR="00911A88" w:rsidRPr="00363F2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ffre de soins sanitaires des USLD</w:t>
      </w:r>
      <w:r w:rsidR="00911A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63F2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sym w:font="Wingdings" w:char="F0E0"/>
      </w:r>
      <w:r w:rsidR="00911A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FE4415" w:rsidRPr="002910D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La feuille de route dressera les enjeux prioritaires et les éléments de calendrier concernant</w:t>
      </w:r>
      <w:r w:rsidR="000E460F" w:rsidRPr="002910D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l’offre de soins sanitaire</w:t>
      </w: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s</w:t>
      </w:r>
      <w:r w:rsidR="000E460F" w:rsidRPr="002910D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des USLD</w:t>
      </w: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,</w:t>
      </w:r>
      <w:r w:rsidR="000E460F" w:rsidRPr="002910D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comme des EHPAD</w:t>
      </w: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,</w:t>
      </w:r>
      <w:r w:rsidR="000E460F" w:rsidRPr="002910D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en vue de les adapter à l’évolution de ces profils et des besoins de soins des résidents dans les années à venir. </w:t>
      </w:r>
    </w:p>
    <w:p w14:paraId="12FBAB65" w14:textId="4A140252" w:rsidR="00EB3800" w:rsidRPr="00911A88" w:rsidRDefault="00363F2C" w:rsidP="00363F2C">
      <w:pPr>
        <w:pStyle w:val="NormalWeb"/>
        <w:numPr>
          <w:ilvl w:val="0"/>
          <w:numId w:val="2"/>
        </w:numPr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363F2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>Le</w:t>
      </w:r>
      <w:r w:rsidR="00911A88" w:rsidRPr="00363F2C">
        <w:rPr>
          <w:rFonts w:ascii="Arial" w:hAnsi="Arial" w:cs="Arial"/>
          <w:b/>
          <w:color w:val="000000" w:themeColor="text1"/>
          <w:sz w:val="22"/>
          <w:szCs w:val="22"/>
          <w:shd w:val="clear" w:color="auto" w:fill="FFFFFF"/>
        </w:rPr>
        <w:t xml:space="preserve"> tarif soin global</w:t>
      </w:r>
      <w:r w:rsidR="00911A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Pr="00363F2C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sym w:font="Wingdings" w:char="F0E0"/>
      </w:r>
      <w:r w:rsidR="00911A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187948" w:rsidRPr="002910D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Cette feuille de route abordera également </w:t>
      </w:r>
      <w:r w:rsidR="00EB3800" w:rsidRPr="002910DB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la question du tarif soin global en EHPAD, la q</w:t>
      </w:r>
      <w:r w:rsidR="00EB3800" w:rsidRPr="00911A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uestion de la prescription médi</w:t>
      </w:r>
      <w:r w:rsidR="00240638" w:rsidRPr="00911A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cale en E</w:t>
      </w:r>
      <w:r w:rsidR="00FE4415" w:rsidRPr="00911A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HPAD parmi</w:t>
      </w:r>
      <w:r w:rsidR="00240638" w:rsidRPr="00911A88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d’autres sujets.</w:t>
      </w:r>
    </w:p>
    <w:p w14:paraId="5BEAF2EB" w14:textId="4901CB94" w:rsidR="000E460F" w:rsidRDefault="00240638" w:rsidP="00240638">
      <w:pPr>
        <w:pStyle w:val="NormalWeb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 w:rsidRP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Le professeur Claude </w:t>
      </w:r>
      <w:proofErr w:type="spellStart"/>
      <w:r w:rsidRP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J</w:t>
      </w:r>
      <w:r w:rsid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eandel</w:t>
      </w:r>
      <w:proofErr w:type="spellEnd"/>
      <w:r w:rsid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, président du </w:t>
      </w:r>
      <w:r w:rsidR="003D720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Conseil National Professionnel (</w:t>
      </w:r>
      <w:r w:rsid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CNP</w:t>
      </w:r>
      <w:r w:rsidR="003D720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)</w:t>
      </w:r>
      <w:r w:rsid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de Gériatrie et Marc Bourquin, </w:t>
      </w:r>
      <w:r w:rsidR="00FE4415" w:rsidRP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conseiller stratégie à la Fédération hospitalière de France (FHF) </w:t>
      </w:r>
      <w:r w:rsidRPr="00FE4415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seront l</w:t>
      </w: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es référents de cette feuille de route EHPAD qui sera animée par la DGCS et la DGOS. </w:t>
      </w:r>
    </w:p>
    <w:p w14:paraId="76396E27" w14:textId="71371897" w:rsidR="005656F7" w:rsidRPr="00E64F6F" w:rsidRDefault="00911A88" w:rsidP="00E64F6F">
      <w:pPr>
        <w:pStyle w:val="NormalWeb"/>
        <w:spacing w:after="0"/>
        <w:jc w:val="both"/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</w:pP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Pour Brigitte Bourguignon,</w:t>
      </w:r>
      <w:r w:rsidR="00C63933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 xml:space="preserve"> </w:t>
      </w:r>
      <w:r w:rsidR="00925DBD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« </w:t>
      </w:r>
      <w:r w:rsidRPr="00E64F6F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Je tiens </w:t>
      </w:r>
      <w:r w:rsidR="00C63933" w:rsidRPr="00E64F6F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à nouveau à remercier les Professeurs Jeandel et Guérin pour l’excellence de leur rapport qui nourrira fortement la feuille de route</w:t>
      </w:r>
      <w:r w:rsidRPr="00E64F6F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. Nous avons défini une ligne stratégique pour les EHPAD, qui sert à orienter notre action et</w:t>
      </w:r>
      <w:r w:rsidR="00E64F6F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à</w:t>
      </w:r>
      <w:r w:rsidRPr="00E64F6F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 xml:space="preserve"> mener cette révolution du grand âge en </w:t>
      </w:r>
      <w:r w:rsidR="00E64F6F">
        <w:rPr>
          <w:rFonts w:ascii="Arial" w:hAnsi="Arial" w:cs="Arial"/>
          <w:bCs/>
          <w:i/>
          <w:iCs/>
          <w:color w:val="000000" w:themeColor="text1"/>
          <w:sz w:val="22"/>
          <w:szCs w:val="22"/>
          <w:shd w:val="clear" w:color="auto" w:fill="FFFFFF"/>
        </w:rPr>
        <w:t>France</w:t>
      </w:r>
      <w:r w:rsidR="00E64F6F"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bCs/>
          <w:color w:val="000000" w:themeColor="text1"/>
          <w:sz w:val="22"/>
          <w:szCs w:val="22"/>
          <w:shd w:val="clear" w:color="auto" w:fill="FFFFFF"/>
        </w:rPr>
        <w:t> »</w:t>
      </w:r>
    </w:p>
    <w:p w14:paraId="1443B75F" w14:textId="77777777" w:rsidR="005656F7" w:rsidRPr="009C622F" w:rsidRDefault="005656F7" w:rsidP="005656F7">
      <w:pPr>
        <w:pStyle w:val="Paragraphedeliste"/>
        <w:ind w:left="0"/>
        <w:contextualSpacing/>
        <w:jc w:val="both"/>
        <w:rPr>
          <w:rFonts w:ascii="Arial" w:hAnsi="Arial" w:cs="Arial"/>
          <w:i/>
          <w:shd w:val="clear" w:color="auto" w:fill="FFFFFF"/>
        </w:rPr>
      </w:pPr>
    </w:p>
    <w:p w14:paraId="04DE6BE4" w14:textId="77777777" w:rsidR="005656F7" w:rsidRPr="002A5303" w:rsidRDefault="005656F7" w:rsidP="005656F7">
      <w:pPr>
        <w:pStyle w:val="NormalWeb"/>
        <w:spacing w:before="0" w:beforeAutospacing="0" w:after="0" w:afterAutospacing="0" w:line="276" w:lineRule="auto"/>
        <w:rPr>
          <w:rStyle w:val="lev"/>
          <w:rFonts w:ascii="Arial" w:hAnsi="Arial" w:cs="Arial"/>
          <w:color w:val="000000"/>
          <w:sz w:val="22"/>
          <w:szCs w:val="18"/>
        </w:rPr>
      </w:pPr>
      <w:r w:rsidRPr="00AB2062">
        <w:rPr>
          <w:rStyle w:val="lev"/>
          <w:rFonts w:ascii="Arial" w:hAnsi="Arial" w:cs="Arial"/>
          <w:color w:val="000000"/>
          <w:sz w:val="22"/>
          <w:szCs w:val="18"/>
        </w:rPr>
        <w:t>Contact presse :</w:t>
      </w:r>
    </w:p>
    <w:p w14:paraId="63DDBC07" w14:textId="77777777" w:rsidR="005656F7" w:rsidRDefault="005656F7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Ministère chargé de l’Autonomie</w:t>
      </w:r>
    </w:p>
    <w:p w14:paraId="4C834D35" w14:textId="77777777" w:rsidR="005656F7" w:rsidRDefault="005656F7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Style w:val="lev"/>
          <w:rFonts w:ascii="Arial" w:hAnsi="Arial" w:cs="Arial"/>
          <w:color w:val="000000"/>
          <w:sz w:val="18"/>
          <w:szCs w:val="18"/>
        </w:rPr>
        <w:t>Cabinet de Brigitte BOURGUIGNON</w:t>
      </w:r>
    </w:p>
    <w:p w14:paraId="6435BCF9" w14:textId="77777777" w:rsidR="005656F7" w:rsidRPr="002A5303" w:rsidRDefault="005656F7" w:rsidP="005656F7">
      <w:pPr>
        <w:pStyle w:val="NormalWeb"/>
        <w:spacing w:before="0" w:beforeAutospacing="0" w:after="0" w:afterAutospacing="0" w:line="276" w:lineRule="auto"/>
        <w:rPr>
          <w:rFonts w:ascii="Arial" w:hAnsi="Arial" w:cs="Arial"/>
          <w:color w:val="393939"/>
          <w:sz w:val="26"/>
          <w:szCs w:val="26"/>
        </w:rPr>
      </w:pPr>
      <w:r>
        <w:rPr>
          <w:rFonts w:ascii="Arial" w:hAnsi="Arial" w:cs="Arial"/>
          <w:color w:val="000000"/>
          <w:sz w:val="18"/>
          <w:szCs w:val="18"/>
        </w:rPr>
        <w:t>01 40 56 63 74</w:t>
      </w:r>
      <w:r>
        <w:rPr>
          <w:rFonts w:ascii="Arial" w:hAnsi="Arial" w:cs="Arial"/>
          <w:color w:val="393939"/>
          <w:sz w:val="26"/>
          <w:szCs w:val="26"/>
        </w:rPr>
        <w:t xml:space="preserve"> / </w:t>
      </w:r>
      <w:hyperlink r:id="rId7" w:history="1">
        <w:r w:rsidRPr="001716BC">
          <w:rPr>
            <w:rStyle w:val="Lienhypertexte"/>
            <w:rFonts w:ascii="Arial" w:hAnsi="Arial" w:cs="Arial"/>
            <w:color w:val="0595D6"/>
            <w:sz w:val="17"/>
            <w:szCs w:val="17"/>
          </w:rPr>
          <w:t>sec.presse.autonomie@sante.gouv.fr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5656F7" w14:paraId="52E30CF5" w14:textId="77777777" w:rsidTr="003F7A0D">
        <w:tc>
          <w:tcPr>
            <w:tcW w:w="0" w:type="auto"/>
            <w:vAlign w:val="center"/>
          </w:tcPr>
          <w:p w14:paraId="7C9F8AAC" w14:textId="77777777" w:rsidR="005656F7" w:rsidRDefault="005656F7" w:rsidP="003F7A0D">
            <w:pPr>
              <w:rPr>
                <w:rFonts w:eastAsia="Times New Roman"/>
                <w:sz w:val="20"/>
                <w:szCs w:val="20"/>
              </w:rPr>
            </w:pPr>
          </w:p>
          <w:p w14:paraId="0F97F01C" w14:textId="77777777" w:rsidR="005656F7" w:rsidRDefault="005656F7" w:rsidP="003F7A0D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Conformément à la loi informatique et libertés du 06/01/1978 (art.27) et au Règlement Général sur la Protection des Données (Règlement UE 2016/679) ou « RGPD », vous disposez d'un droit d'accès et de rectification des données vou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7"/>
                <w:szCs w:val="17"/>
              </w:rPr>
              <w:t>concernant. Vous pouvez exercer vos droits en adressant un e-mail à l’adresse</w:t>
            </w:r>
            <w:r>
              <w:rPr>
                <w:rFonts w:ascii="Arial" w:hAnsi="Arial" w:cs="Arial"/>
                <w:color w:val="393939"/>
                <w:sz w:val="17"/>
                <w:szCs w:val="17"/>
              </w:rPr>
              <w:t xml:space="preserve"> </w:t>
            </w:r>
            <w:hyperlink r:id="rId8" w:tgtFrame="_blank" w:history="1">
              <w:r>
                <w:rPr>
                  <w:rStyle w:val="Lienhypertexte"/>
                  <w:rFonts w:ascii="Arial" w:hAnsi="Arial" w:cs="Arial"/>
                  <w:color w:val="0595D6"/>
                  <w:sz w:val="17"/>
                  <w:szCs w:val="17"/>
                </w:rPr>
                <w:t>DDC-RGPD-CAB@ddc.social.gouv.fr</w:t>
              </w:r>
            </w:hyperlink>
          </w:p>
        </w:tc>
      </w:tr>
    </w:tbl>
    <w:p w14:paraId="6B74E1FA" w14:textId="77777777" w:rsidR="005656F7" w:rsidRDefault="005656F7" w:rsidP="005656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fr-FR"/>
        </w:rPr>
      </w:pPr>
    </w:p>
    <w:p w14:paraId="7E0E1EE4" w14:textId="77777777" w:rsidR="005656F7" w:rsidRPr="005656F7" w:rsidRDefault="005656F7" w:rsidP="005656F7"/>
    <w:sectPr w:rsidR="005656F7" w:rsidRPr="005656F7" w:rsidSect="001B718E">
      <w:pgSz w:w="11906" w:h="16838"/>
      <w:pgMar w:top="993" w:right="1133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60601"/>
    <w:multiLevelType w:val="hybridMultilevel"/>
    <w:tmpl w:val="731EC230"/>
    <w:lvl w:ilvl="0" w:tplc="E8B866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C82CD4"/>
    <w:multiLevelType w:val="hybridMultilevel"/>
    <w:tmpl w:val="12B29EC8"/>
    <w:lvl w:ilvl="0" w:tplc="CE4A7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D2C901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87F43BC6">
      <w:start w:val="238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069B8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02EEC6D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0B36975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69C6CEC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60044D4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C7DCF1D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6F7"/>
    <w:rsid w:val="000E460F"/>
    <w:rsid w:val="00187948"/>
    <w:rsid w:val="001C3736"/>
    <w:rsid w:val="001F72D8"/>
    <w:rsid w:val="00240638"/>
    <w:rsid w:val="002910DB"/>
    <w:rsid w:val="00363F2C"/>
    <w:rsid w:val="003D7205"/>
    <w:rsid w:val="004D692E"/>
    <w:rsid w:val="005656F7"/>
    <w:rsid w:val="00823CD3"/>
    <w:rsid w:val="00911A88"/>
    <w:rsid w:val="00925DBD"/>
    <w:rsid w:val="00950C62"/>
    <w:rsid w:val="00AF5D90"/>
    <w:rsid w:val="00C63933"/>
    <w:rsid w:val="00C73794"/>
    <w:rsid w:val="00E64F6F"/>
    <w:rsid w:val="00EB3800"/>
    <w:rsid w:val="00F30415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355E6D"/>
  <w15:chartTrackingRefBased/>
  <w15:docId w15:val="{6E55B7BC-F47E-46CB-9435-6A2E563B3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5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656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5656F7"/>
    <w:rPr>
      <w:b/>
      <w:bCs/>
    </w:rPr>
  </w:style>
  <w:style w:type="character" w:styleId="Lienhypertexte">
    <w:name w:val="Hyperlink"/>
    <w:basedOn w:val="Policepardfaut"/>
    <w:uiPriority w:val="99"/>
    <w:unhideWhenUsed/>
    <w:rsid w:val="005656F7"/>
    <w:rPr>
      <w:color w:val="0000FF"/>
      <w:u w:val="single"/>
    </w:rPr>
  </w:style>
  <w:style w:type="paragraph" w:styleId="Paragraphedeliste">
    <w:name w:val="List Paragraph"/>
    <w:aliases w:val="Reco,Bullet Niv 1"/>
    <w:basedOn w:val="Normal"/>
    <w:link w:val="ParagraphedelisteCar"/>
    <w:uiPriority w:val="34"/>
    <w:qFormat/>
    <w:rsid w:val="005656F7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ParagraphedelisteCar">
    <w:name w:val="Paragraphe de liste Car"/>
    <w:aliases w:val="Reco Car,Bullet Niv 1 Car"/>
    <w:link w:val="Paragraphedeliste"/>
    <w:uiPriority w:val="34"/>
    <w:rsid w:val="005656F7"/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3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3794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911A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1A8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1A8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1A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1A88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363F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ye.diffusion.social.gouv.fr/c?p=wATNAVLDxBAbEtDD0LHQsNDeRWjQiNCRYtCU0J5BNTjEENCi9NCl0JH7cEX40IvpZdCVUurr0LPZJm1haWx0bzpEREMtUkdQRC1DQUJAZGRjLnNvY2lhbC5nb3V2LmZyuDViMjNjZDMxYjg1YjUzNjA2NmQ5MjkxYcQQ89C0MThR0L5CF9Cw0JVL_dDPD0bQirxleWUuZGlmZnVzaW9uLnNvY2lhbC5nb3V2LmZyxBR-FRc20MTQ2jfQoEPQt9CV0MnQo9C_0MwxQ9C30NXQ3g" TargetMode="External"/><Relationship Id="rId3" Type="http://schemas.openxmlformats.org/officeDocument/2006/relationships/styles" Target="styles.xml"/><Relationship Id="rId7" Type="http://schemas.openxmlformats.org/officeDocument/2006/relationships/hyperlink" Target="mailto:sec.presse.autonomie@sante.gouv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4DE905-DCE3-4532-8E03-25F47D181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PPT/DSI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TAPON, Louis (CAB/AUTONOMIE)</dc:creator>
  <cp:keywords/>
  <dc:description/>
  <cp:lastModifiedBy>RYCZEK, Boris (DICOM/INFLUENCE ET DIGITAL)</cp:lastModifiedBy>
  <cp:revision>3</cp:revision>
  <dcterms:created xsi:type="dcterms:W3CDTF">2021-12-13T07:58:00Z</dcterms:created>
  <dcterms:modified xsi:type="dcterms:W3CDTF">2021-12-13T13:28:00Z</dcterms:modified>
</cp:coreProperties>
</file>