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FC348" w14:textId="77777777" w:rsidR="00351D49" w:rsidRDefault="00351D49" w:rsidP="004F403D">
      <w:pPr>
        <w:pStyle w:val="Corpsdetexte"/>
        <w:jc w:val="center"/>
        <w:rPr>
          <w:rFonts w:ascii="Times New Roman"/>
          <w:noProof/>
        </w:rPr>
        <w:sectPr w:rsidR="00351D49" w:rsidSect="00045911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4" w:right="964" w:bottom="964" w:left="964" w:header="720" w:footer="720" w:gutter="0"/>
          <w:cols w:space="720"/>
        </w:sectPr>
      </w:pPr>
    </w:p>
    <w:p w14:paraId="56237E11" w14:textId="77777777" w:rsidR="000924D0" w:rsidRDefault="000924D0" w:rsidP="00CD5E65">
      <w:pPr>
        <w:pStyle w:val="Corpsdetexte"/>
        <w:ind w:left="128"/>
        <w:jc w:val="center"/>
        <w:rPr>
          <w:rFonts w:ascii="Times New Roman"/>
          <w:noProof/>
        </w:rPr>
      </w:pPr>
    </w:p>
    <w:p w14:paraId="2AA83502" w14:textId="77777777" w:rsidR="0079276E" w:rsidRDefault="0079276E" w:rsidP="00CD5E65">
      <w:pPr>
        <w:pStyle w:val="Corpsdetexte"/>
        <w:ind w:left="128"/>
        <w:jc w:val="center"/>
        <w:rPr>
          <w:rFonts w:ascii="Times New Roman"/>
          <w:noProof/>
        </w:rPr>
      </w:pPr>
    </w:p>
    <w:p w14:paraId="1206579C" w14:textId="77777777" w:rsidR="0079276E" w:rsidRPr="0079276E" w:rsidRDefault="0079276E" w:rsidP="00CD5E65">
      <w:pPr>
        <w:pStyle w:val="Corpsdetexte"/>
        <w:ind w:left="128"/>
        <w:jc w:val="center"/>
        <w:rPr>
          <w:rFonts w:ascii="Times New Roman"/>
        </w:rPr>
      </w:pPr>
    </w:p>
    <w:p w14:paraId="50D870F6" w14:textId="77777777" w:rsidR="00D8134F" w:rsidRDefault="00D8134F" w:rsidP="00F85410">
      <w:pPr>
        <w:pStyle w:val="Titre1"/>
      </w:pPr>
    </w:p>
    <w:p w14:paraId="5E888E7C" w14:textId="77777777" w:rsidR="00794C75" w:rsidRDefault="00794C75" w:rsidP="00F85410">
      <w:pPr>
        <w:pStyle w:val="Titre1"/>
        <w:rPr>
          <w:sz w:val="20"/>
          <w:szCs w:val="20"/>
        </w:rPr>
      </w:pPr>
    </w:p>
    <w:p w14:paraId="5BE18AAE" w14:textId="78B1F81E" w:rsidR="00CD5E65" w:rsidRPr="00F85410" w:rsidRDefault="00965B19" w:rsidP="00F85410">
      <w:pPr>
        <w:pStyle w:val="Titre1"/>
        <w:rPr>
          <w:sz w:val="20"/>
          <w:szCs w:val="20"/>
        </w:rPr>
      </w:pPr>
      <w:r w:rsidRPr="00F85410">
        <w:rPr>
          <w:sz w:val="20"/>
          <w:szCs w:val="20"/>
        </w:rPr>
        <w:t>COMMUNIQUE DE PRESSE</w:t>
      </w:r>
    </w:p>
    <w:p w14:paraId="76920BAD" w14:textId="77777777" w:rsidR="000924D0" w:rsidRPr="00076B31" w:rsidRDefault="000924D0" w:rsidP="001D021D">
      <w:pPr>
        <w:pStyle w:val="Titre1"/>
        <w:jc w:val="left"/>
      </w:pPr>
    </w:p>
    <w:p w14:paraId="5BD6DD36" w14:textId="77777777" w:rsidR="000924D0" w:rsidRPr="00290741" w:rsidRDefault="000924D0">
      <w:pPr>
        <w:pStyle w:val="Corpsdetexte"/>
        <w:spacing w:before="1"/>
        <w:rPr>
          <w:b/>
          <w:sz w:val="25"/>
          <w:lang w:val="fr-FR"/>
        </w:rPr>
      </w:pPr>
    </w:p>
    <w:p w14:paraId="5CF15A13" w14:textId="07BDC577" w:rsidR="00351D49" w:rsidRPr="00F85410" w:rsidRDefault="00C57DCD" w:rsidP="00874318">
      <w:pPr>
        <w:pStyle w:val="Corpsdetexte"/>
        <w:ind w:right="24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85410">
        <w:rPr>
          <w:rFonts w:asciiTheme="minorHAnsi" w:hAnsiTheme="minorHAnsi" w:cstheme="minorHAnsi"/>
          <w:color w:val="000000"/>
          <w:sz w:val="18"/>
          <w:szCs w:val="18"/>
          <w:lang w:val="fr-FR"/>
        </w:rPr>
        <w:t>Paris</w:t>
      </w:r>
      <w:r w:rsidR="00351D49" w:rsidRPr="00F85410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, le </w:t>
      </w:r>
      <w:r w:rsidR="000E2D9B">
        <w:rPr>
          <w:rFonts w:asciiTheme="minorHAnsi" w:hAnsiTheme="minorHAnsi" w:cstheme="minorHAnsi"/>
          <w:color w:val="000000"/>
          <w:sz w:val="18"/>
          <w:szCs w:val="18"/>
          <w:lang w:val="fr-FR"/>
        </w:rPr>
        <w:t>15</w:t>
      </w:r>
      <w:r w:rsidR="00B90CB7" w:rsidRPr="00F85410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juin </w:t>
      </w:r>
      <w:r w:rsidRPr="00F85410">
        <w:rPr>
          <w:rFonts w:asciiTheme="minorHAnsi" w:hAnsiTheme="minorHAnsi" w:cstheme="minorHAnsi"/>
          <w:color w:val="000000"/>
          <w:sz w:val="18"/>
          <w:szCs w:val="18"/>
          <w:lang w:val="fr-FR"/>
        </w:rPr>
        <w:t>2021</w:t>
      </w:r>
    </w:p>
    <w:p w14:paraId="3219759A" w14:textId="77777777" w:rsidR="000924D0" w:rsidRPr="00290741" w:rsidRDefault="000924D0">
      <w:pPr>
        <w:pStyle w:val="Corpsdetexte"/>
        <w:rPr>
          <w:sz w:val="24"/>
          <w:lang w:val="fr-FR"/>
        </w:rPr>
      </w:pPr>
    </w:p>
    <w:p w14:paraId="15C1619A" w14:textId="77777777" w:rsidR="00965B19" w:rsidRDefault="00965B19" w:rsidP="001D021D">
      <w:pPr>
        <w:pStyle w:val="Date10"/>
        <w:jc w:val="both"/>
      </w:pPr>
    </w:p>
    <w:p w14:paraId="36C9FD74" w14:textId="0C732284" w:rsidR="00C57DCD" w:rsidRPr="00F85410" w:rsidRDefault="008E624D" w:rsidP="001E3671">
      <w:pPr>
        <w:pStyle w:val="Corpsdetexte"/>
        <w:ind w:right="24"/>
        <w:jc w:val="both"/>
        <w:rPr>
          <w:b/>
          <w:lang w:val="fr-FR"/>
        </w:rPr>
      </w:pPr>
      <w:r w:rsidRPr="00F85410">
        <w:rPr>
          <w:b/>
          <w:lang w:val="fr-FR"/>
        </w:rPr>
        <w:t>L</w:t>
      </w:r>
      <w:r w:rsidR="001E3671" w:rsidRPr="00F85410">
        <w:rPr>
          <w:b/>
          <w:lang w:val="fr-FR"/>
        </w:rPr>
        <w:t>e ministère des Solidarités et de la Santé annonce la prise en charge d</w:t>
      </w:r>
      <w:r w:rsidRPr="00F85410">
        <w:rPr>
          <w:b/>
          <w:lang w:val="fr-FR"/>
        </w:rPr>
        <w:t>es</w:t>
      </w:r>
      <w:r w:rsidR="001D021D" w:rsidRPr="00F85410">
        <w:rPr>
          <w:b/>
          <w:lang w:val="fr-FR"/>
        </w:rPr>
        <w:t xml:space="preserve"> </w:t>
      </w:r>
      <w:r w:rsidRPr="00F85410">
        <w:rPr>
          <w:b/>
          <w:lang w:val="fr-FR"/>
        </w:rPr>
        <w:t>tests</w:t>
      </w:r>
      <w:r w:rsidR="00C57DCD" w:rsidRPr="00F85410">
        <w:rPr>
          <w:b/>
          <w:lang w:val="fr-FR"/>
        </w:rPr>
        <w:t xml:space="preserve"> </w:t>
      </w:r>
      <w:r w:rsidR="00B33DDF" w:rsidRPr="00F85410">
        <w:rPr>
          <w:b/>
          <w:lang w:val="fr-FR"/>
        </w:rPr>
        <w:t xml:space="preserve">rapides </w:t>
      </w:r>
      <w:r w:rsidR="00C57DCD" w:rsidRPr="00F85410">
        <w:rPr>
          <w:b/>
          <w:lang w:val="fr-FR"/>
        </w:rPr>
        <w:t>angine</w:t>
      </w:r>
      <w:r w:rsidRPr="00F85410">
        <w:rPr>
          <w:b/>
          <w:lang w:val="fr-FR"/>
        </w:rPr>
        <w:t xml:space="preserve"> </w:t>
      </w:r>
      <w:r w:rsidR="001E3671" w:rsidRPr="00F85410">
        <w:rPr>
          <w:b/>
          <w:lang w:val="fr-FR"/>
        </w:rPr>
        <w:t xml:space="preserve">réalisés </w:t>
      </w:r>
      <w:r w:rsidR="00C57DCD" w:rsidRPr="00F85410">
        <w:rPr>
          <w:b/>
          <w:lang w:val="fr-FR"/>
        </w:rPr>
        <w:t>en pharmacie d’officine</w:t>
      </w:r>
      <w:r w:rsidR="00D00CC8" w:rsidRPr="00F85410">
        <w:rPr>
          <w:b/>
          <w:lang w:val="fr-FR"/>
        </w:rPr>
        <w:t xml:space="preserve"> </w:t>
      </w:r>
    </w:p>
    <w:p w14:paraId="342DD459" w14:textId="77777777" w:rsidR="00D8134F" w:rsidRDefault="00D8134F" w:rsidP="001E3671">
      <w:pPr>
        <w:jc w:val="both"/>
        <w:rPr>
          <w:rFonts w:asciiTheme="minorHAnsi" w:hAnsiTheme="minorHAnsi" w:cstheme="minorHAnsi"/>
          <w:color w:val="231F20"/>
          <w:lang w:val="fr-FR"/>
        </w:rPr>
      </w:pPr>
    </w:p>
    <w:p w14:paraId="08D7D754" w14:textId="1A9A8004" w:rsidR="001E3671" w:rsidRPr="00940300" w:rsidRDefault="001E3671" w:rsidP="001E3671">
      <w:pPr>
        <w:jc w:val="both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940300">
        <w:rPr>
          <w:rFonts w:asciiTheme="minorHAnsi" w:hAnsiTheme="minorHAnsi" w:cstheme="minorHAnsi"/>
          <w:b/>
          <w:sz w:val="18"/>
          <w:szCs w:val="18"/>
          <w:lang w:val="fr-FR"/>
        </w:rPr>
        <w:t>A partir du 1</w:t>
      </w:r>
      <w:r w:rsidRPr="00940300">
        <w:rPr>
          <w:rFonts w:asciiTheme="minorHAnsi" w:hAnsiTheme="minorHAnsi" w:cstheme="minorHAnsi"/>
          <w:b/>
          <w:sz w:val="18"/>
          <w:szCs w:val="18"/>
          <w:vertAlign w:val="superscript"/>
          <w:lang w:val="fr-FR"/>
        </w:rPr>
        <w:t>er</w:t>
      </w:r>
      <w:r w:rsidRPr="00940300">
        <w:rPr>
          <w:rFonts w:asciiTheme="minorHAnsi" w:hAnsiTheme="minorHAnsi" w:cstheme="minorHAnsi"/>
          <w:b/>
          <w:sz w:val="18"/>
          <w:szCs w:val="18"/>
          <w:lang w:val="fr-FR"/>
        </w:rPr>
        <w:t xml:space="preserve"> juillet 2021, les tes</w:t>
      </w:r>
      <w:r w:rsidR="00F602D0" w:rsidRPr="00940300">
        <w:rPr>
          <w:rFonts w:asciiTheme="minorHAnsi" w:hAnsiTheme="minorHAnsi" w:cstheme="minorHAnsi"/>
          <w:b/>
          <w:sz w:val="18"/>
          <w:szCs w:val="18"/>
          <w:lang w:val="fr-FR"/>
        </w:rPr>
        <w:t xml:space="preserve">ts rapides angine pourront </w:t>
      </w:r>
      <w:r w:rsidR="00147A2B" w:rsidRPr="00940300">
        <w:rPr>
          <w:rFonts w:asciiTheme="minorHAnsi" w:hAnsiTheme="minorHAnsi" w:cstheme="minorHAnsi"/>
          <w:b/>
          <w:sz w:val="18"/>
          <w:szCs w:val="18"/>
          <w:lang w:val="fr-FR"/>
        </w:rPr>
        <w:t xml:space="preserve">de nouveau </w:t>
      </w:r>
      <w:r w:rsidR="00F602D0" w:rsidRPr="00940300">
        <w:rPr>
          <w:rFonts w:asciiTheme="minorHAnsi" w:hAnsiTheme="minorHAnsi" w:cstheme="minorHAnsi"/>
          <w:b/>
          <w:sz w:val="18"/>
          <w:szCs w:val="18"/>
          <w:lang w:val="fr-FR"/>
        </w:rPr>
        <w:t xml:space="preserve">être </w:t>
      </w:r>
      <w:r w:rsidRPr="00940300">
        <w:rPr>
          <w:rFonts w:asciiTheme="minorHAnsi" w:hAnsiTheme="minorHAnsi" w:cstheme="minorHAnsi"/>
          <w:b/>
          <w:sz w:val="18"/>
          <w:szCs w:val="18"/>
          <w:lang w:val="fr-FR"/>
        </w:rPr>
        <w:t>r</w:t>
      </w:r>
      <w:r w:rsidR="00E83DE6" w:rsidRPr="00940300">
        <w:rPr>
          <w:rFonts w:asciiTheme="minorHAnsi" w:hAnsiTheme="minorHAnsi" w:cstheme="minorHAnsi"/>
          <w:b/>
          <w:sz w:val="18"/>
          <w:szCs w:val="18"/>
          <w:lang w:val="fr-FR"/>
        </w:rPr>
        <w:t>éalisés en pharmacie d’officine</w:t>
      </w:r>
      <w:r w:rsidRPr="00940300">
        <w:rPr>
          <w:rFonts w:asciiTheme="minorHAnsi" w:hAnsiTheme="minorHAnsi" w:cstheme="minorHAnsi"/>
          <w:b/>
          <w:sz w:val="18"/>
          <w:szCs w:val="18"/>
          <w:lang w:val="fr-FR"/>
        </w:rPr>
        <w:t xml:space="preserve">. </w:t>
      </w:r>
      <w:r w:rsidR="00147A2B" w:rsidRPr="00940300">
        <w:rPr>
          <w:rFonts w:asciiTheme="minorHAnsi" w:hAnsiTheme="minorHAnsi" w:cstheme="minorHAnsi"/>
          <w:b/>
          <w:sz w:val="18"/>
          <w:szCs w:val="18"/>
          <w:lang w:val="fr-FR"/>
        </w:rPr>
        <w:t xml:space="preserve">Ces tests </w:t>
      </w:r>
      <w:r w:rsidRPr="00940300">
        <w:rPr>
          <w:rFonts w:asciiTheme="minorHAnsi" w:hAnsiTheme="minorHAnsi" w:cstheme="minorHAnsi"/>
          <w:b/>
          <w:sz w:val="18"/>
          <w:szCs w:val="18"/>
          <w:lang w:val="fr-FR"/>
        </w:rPr>
        <w:t>sont déjà pris en charge depuis de nombreuses années dans le cadre de la consultation médicale.</w:t>
      </w:r>
    </w:p>
    <w:p w14:paraId="5B6C6E6E" w14:textId="77777777" w:rsidR="001E3671" w:rsidRPr="00940300" w:rsidRDefault="001E3671" w:rsidP="001E3671">
      <w:pPr>
        <w:jc w:val="both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1FA3D884" w14:textId="1B1F47E2" w:rsidR="001E3671" w:rsidRPr="00940300" w:rsidRDefault="008E624D" w:rsidP="00616D8D">
      <w:pPr>
        <w:pStyle w:val="Corpsdetexte"/>
        <w:ind w:right="24"/>
        <w:jc w:val="both"/>
        <w:rPr>
          <w:sz w:val="18"/>
          <w:szCs w:val="18"/>
          <w:lang w:val="fr-FR"/>
        </w:rPr>
      </w:pPr>
      <w:r w:rsidRPr="00940300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Les angines sont des infections </w:t>
      </w:r>
      <w:r w:rsidR="001E3671" w:rsidRPr="00940300">
        <w:rPr>
          <w:rFonts w:asciiTheme="minorHAnsi" w:hAnsiTheme="minorHAnsi" w:cstheme="minorHAnsi"/>
          <w:color w:val="000000"/>
          <w:sz w:val="18"/>
          <w:szCs w:val="18"/>
          <w:lang w:val="fr-FR"/>
        </w:rPr>
        <w:t>fréquentes, se</w:t>
      </w:r>
      <w:r w:rsidRPr="00940300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manifest</w:t>
      </w:r>
      <w:r w:rsidR="001E3671" w:rsidRPr="00940300">
        <w:rPr>
          <w:rFonts w:asciiTheme="minorHAnsi" w:hAnsiTheme="minorHAnsi" w:cstheme="minorHAnsi"/>
          <w:color w:val="000000"/>
          <w:sz w:val="18"/>
          <w:szCs w:val="18"/>
          <w:lang w:val="fr-FR"/>
        </w:rPr>
        <w:t>a</w:t>
      </w:r>
      <w:r w:rsidRPr="00940300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nt le plus souvent par une difficulté pour avaler et </w:t>
      </w:r>
      <w:r w:rsidR="00584ED7" w:rsidRPr="00940300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de </w:t>
      </w:r>
      <w:r w:rsidRPr="00940300">
        <w:rPr>
          <w:rFonts w:asciiTheme="minorHAnsi" w:hAnsiTheme="minorHAnsi" w:cstheme="minorHAnsi"/>
          <w:color w:val="000000"/>
          <w:sz w:val="18"/>
          <w:szCs w:val="18"/>
          <w:lang w:val="fr-FR"/>
        </w:rPr>
        <w:t>la fièvre.</w:t>
      </w:r>
      <w:r w:rsidR="001E3671" w:rsidRPr="00940300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</w:t>
      </w:r>
      <w:r w:rsidR="00EB2F74" w:rsidRPr="00940300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Les </w:t>
      </w:r>
      <w:r w:rsidR="00B33DDF" w:rsidRPr="00940300">
        <w:rPr>
          <w:rFonts w:asciiTheme="minorHAnsi" w:hAnsiTheme="minorHAnsi" w:cstheme="minorHAnsi"/>
          <w:sz w:val="18"/>
          <w:szCs w:val="18"/>
          <w:lang w:val="fr-FR"/>
        </w:rPr>
        <w:t>tests rapides</w:t>
      </w:r>
      <w:r w:rsidR="00EB2F74"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EB2F74" w:rsidRPr="00940300">
        <w:rPr>
          <w:rFonts w:asciiTheme="minorHAnsi" w:hAnsiTheme="minorHAnsi" w:cstheme="minorHAnsi"/>
          <w:color w:val="000000"/>
          <w:sz w:val="18"/>
          <w:szCs w:val="18"/>
          <w:lang w:val="fr-FR"/>
        </w:rPr>
        <w:t>angine</w:t>
      </w:r>
      <w:r w:rsidR="00CC3493" w:rsidRPr="00940300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</w:t>
      </w:r>
      <w:r w:rsidR="00CC3493" w:rsidRPr="00940300">
        <w:rPr>
          <w:rFonts w:asciiTheme="minorHAnsi" w:hAnsiTheme="minorHAnsi" w:cstheme="minorHAnsi"/>
          <w:sz w:val="18"/>
          <w:szCs w:val="18"/>
          <w:lang w:val="fr-FR"/>
        </w:rPr>
        <w:t>permettent de vérifier l’origine virale ou bactérienne d’une angine en quelques minutes</w:t>
      </w:r>
      <w:r w:rsidR="00CC3493" w:rsidRPr="00940300">
        <w:rPr>
          <w:rFonts w:asciiTheme="minorHAnsi" w:hAnsiTheme="minorHAnsi" w:cstheme="minorHAnsi"/>
          <w:color w:val="000000"/>
          <w:sz w:val="18"/>
          <w:szCs w:val="18"/>
          <w:lang w:val="fr-FR"/>
        </w:rPr>
        <w:t>, grâce</w:t>
      </w:r>
      <w:r w:rsidR="00EB2F74" w:rsidRPr="00940300">
        <w:rPr>
          <w:rFonts w:asciiTheme="minorHAnsi" w:hAnsiTheme="minorHAnsi" w:cstheme="minorHAnsi"/>
          <w:color w:val="000000"/>
          <w:sz w:val="18"/>
          <w:szCs w:val="18"/>
          <w:lang w:val="fr-FR"/>
        </w:rPr>
        <w:t xml:space="preserve"> </w:t>
      </w:r>
      <w:r w:rsidR="00CC3493" w:rsidRPr="00940300">
        <w:rPr>
          <w:rFonts w:asciiTheme="minorHAnsi" w:hAnsiTheme="minorHAnsi" w:cstheme="minorHAnsi"/>
          <w:sz w:val="18"/>
          <w:szCs w:val="18"/>
          <w:lang w:val="fr-FR"/>
        </w:rPr>
        <w:t>à</w:t>
      </w:r>
      <w:r w:rsidR="00142A22" w:rsidRPr="00940300">
        <w:rPr>
          <w:sz w:val="18"/>
          <w:szCs w:val="18"/>
          <w:lang w:val="fr-FR"/>
        </w:rPr>
        <w:t xml:space="preserve"> un prélèvement de gorge réalisé par un médecin ou un pharmacien. </w:t>
      </w:r>
    </w:p>
    <w:p w14:paraId="3E73B2B1" w14:textId="77777777" w:rsidR="001E3671" w:rsidRPr="00940300" w:rsidRDefault="001E3671" w:rsidP="00616D8D">
      <w:pPr>
        <w:pStyle w:val="Corpsdetexte"/>
        <w:ind w:right="24"/>
        <w:jc w:val="both"/>
        <w:rPr>
          <w:sz w:val="18"/>
          <w:szCs w:val="18"/>
          <w:lang w:val="fr-FR"/>
        </w:rPr>
      </w:pPr>
    </w:p>
    <w:p w14:paraId="3DDE8EDA" w14:textId="1BC95745" w:rsidR="00C57DCD" w:rsidRPr="00940300" w:rsidRDefault="00CC3493" w:rsidP="00616D8D">
      <w:pPr>
        <w:pStyle w:val="Corpsdetexte"/>
        <w:ind w:right="24"/>
        <w:jc w:val="both"/>
        <w:rPr>
          <w:rFonts w:asciiTheme="minorHAnsi" w:hAnsiTheme="minorHAnsi" w:cstheme="minorHAnsi"/>
          <w:sz w:val="18"/>
          <w:szCs w:val="18"/>
          <w:lang w:val="fr-FR"/>
        </w:rPr>
      </w:pPr>
      <w:r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Plus de 80% des </w:t>
      </w:r>
      <w:hyperlink r:id="rId11" w:history="1">
        <w:r w:rsidRPr="00940300">
          <w:rPr>
            <w:rStyle w:val="Lienhypertexte"/>
            <w:rFonts w:asciiTheme="minorHAnsi" w:hAnsiTheme="minorHAnsi" w:cstheme="minorHAnsi"/>
            <w:sz w:val="18"/>
            <w:szCs w:val="18"/>
            <w:lang w:val="fr-FR"/>
          </w:rPr>
          <w:t>angines</w:t>
        </w:r>
      </w:hyperlink>
      <w:r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 sont en effet d’origine virale et ne nécessitent pas d’antibiotiques. </w:t>
      </w:r>
      <w:r w:rsidRPr="00940300">
        <w:rPr>
          <w:sz w:val="18"/>
          <w:szCs w:val="18"/>
          <w:lang w:val="fr-FR"/>
        </w:rPr>
        <w:t xml:space="preserve">Les </w:t>
      </w:r>
      <w:r w:rsidR="00B33DDF" w:rsidRPr="00940300">
        <w:rPr>
          <w:sz w:val="18"/>
          <w:szCs w:val="18"/>
          <w:lang w:val="fr-FR"/>
        </w:rPr>
        <w:t>tests rapides</w:t>
      </w:r>
      <w:r w:rsidRPr="00940300">
        <w:rPr>
          <w:sz w:val="18"/>
          <w:szCs w:val="18"/>
          <w:lang w:val="fr-FR"/>
        </w:rPr>
        <w:t xml:space="preserve"> angine permettent donc</w:t>
      </w:r>
      <w:r w:rsidR="00EB2F74"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B33DDF" w:rsidRPr="00940300">
        <w:rPr>
          <w:rFonts w:asciiTheme="minorHAnsi" w:hAnsiTheme="minorHAnsi" w:cstheme="minorHAnsi"/>
          <w:sz w:val="18"/>
          <w:szCs w:val="18"/>
          <w:lang w:val="fr-FR"/>
        </w:rPr>
        <w:t>de ne prendre des antibiotiques que lorsque c’est nécessaire</w:t>
      </w:r>
      <w:r w:rsidR="00C21EE2"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 et</w:t>
      </w:r>
      <w:r w:rsidR="00EB2F74"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de </w:t>
      </w:r>
      <w:r w:rsidR="00EB2F74" w:rsidRPr="00940300">
        <w:rPr>
          <w:rFonts w:asciiTheme="minorHAnsi" w:hAnsiTheme="minorHAnsi" w:cstheme="minorHAnsi"/>
          <w:sz w:val="18"/>
          <w:szCs w:val="18"/>
          <w:lang w:val="fr-FR"/>
        </w:rPr>
        <w:t>préserve</w:t>
      </w:r>
      <w:r w:rsidRPr="00940300">
        <w:rPr>
          <w:rFonts w:asciiTheme="minorHAnsi" w:hAnsiTheme="minorHAnsi" w:cstheme="minorHAnsi"/>
          <w:sz w:val="18"/>
          <w:szCs w:val="18"/>
          <w:lang w:val="fr-FR"/>
        </w:rPr>
        <w:t>r</w:t>
      </w:r>
      <w:r w:rsidR="00EB2F74"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B33DDF"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leur </w:t>
      </w:r>
      <w:r w:rsidR="00EB2F74" w:rsidRPr="00940300">
        <w:rPr>
          <w:rFonts w:asciiTheme="minorHAnsi" w:hAnsiTheme="minorHAnsi" w:cstheme="minorHAnsi"/>
          <w:sz w:val="18"/>
          <w:szCs w:val="18"/>
          <w:lang w:val="fr-FR"/>
        </w:rPr>
        <w:t>efficacité</w:t>
      </w:r>
      <w:r w:rsidR="00B33DDF"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EB2F74" w:rsidRPr="00940300">
        <w:rPr>
          <w:rFonts w:asciiTheme="minorHAnsi" w:hAnsiTheme="minorHAnsi" w:cstheme="minorHAnsi"/>
          <w:sz w:val="18"/>
          <w:szCs w:val="18"/>
          <w:lang w:val="fr-FR"/>
        </w:rPr>
        <w:t>en évitant la résistance bactérienne</w:t>
      </w:r>
      <w:r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 aux antibiotiques</w:t>
      </w:r>
      <w:r w:rsidR="006108C7"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, </w:t>
      </w:r>
      <w:r w:rsidR="00F31CB1" w:rsidRPr="00940300">
        <w:rPr>
          <w:rFonts w:asciiTheme="minorHAnsi" w:hAnsiTheme="minorHAnsi" w:cstheme="minorHAnsi"/>
          <w:sz w:val="18"/>
          <w:szCs w:val="18"/>
          <w:lang w:val="fr-FR"/>
        </w:rPr>
        <w:t>appelée aussi</w:t>
      </w:r>
      <w:r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hyperlink r:id="rId12" w:history="1">
        <w:proofErr w:type="spellStart"/>
        <w:r w:rsidRPr="00940300">
          <w:rPr>
            <w:rStyle w:val="Lienhypertexte"/>
            <w:rFonts w:asciiTheme="minorHAnsi" w:hAnsiTheme="minorHAnsi" w:cstheme="minorHAnsi"/>
            <w:sz w:val="18"/>
            <w:szCs w:val="18"/>
            <w:lang w:val="fr-FR"/>
          </w:rPr>
          <w:t>antibiorésistance</w:t>
        </w:r>
        <w:proofErr w:type="spellEnd"/>
      </w:hyperlink>
      <w:r w:rsidR="00142A22" w:rsidRPr="00940300">
        <w:rPr>
          <w:rFonts w:asciiTheme="minorHAnsi" w:hAnsiTheme="minorHAnsi" w:cstheme="minorHAnsi"/>
          <w:sz w:val="18"/>
          <w:szCs w:val="18"/>
          <w:lang w:val="fr-FR"/>
        </w:rPr>
        <w:t>.</w:t>
      </w:r>
      <w:r w:rsidR="000F53D3"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</w:p>
    <w:p w14:paraId="1E1B218E" w14:textId="77777777" w:rsidR="00142A22" w:rsidRPr="00940300" w:rsidRDefault="00142A22" w:rsidP="00616D8D">
      <w:pPr>
        <w:pStyle w:val="Corpsdetexte"/>
        <w:ind w:right="24"/>
        <w:jc w:val="both"/>
        <w:rPr>
          <w:rFonts w:asciiTheme="minorHAnsi" w:hAnsiTheme="minorHAnsi" w:cstheme="minorHAnsi"/>
          <w:color w:val="231F20"/>
          <w:sz w:val="18"/>
          <w:szCs w:val="18"/>
          <w:lang w:val="fr-FR"/>
        </w:rPr>
      </w:pPr>
    </w:p>
    <w:p w14:paraId="6D2E0C6A" w14:textId="34AD790D" w:rsidR="00C21EE2" w:rsidRPr="00940300" w:rsidRDefault="00C43709" w:rsidP="00D419E0">
      <w:pPr>
        <w:jc w:val="both"/>
        <w:rPr>
          <w:rFonts w:asciiTheme="minorHAnsi" w:hAnsiTheme="minorHAnsi" w:cstheme="minorHAnsi"/>
          <w:sz w:val="18"/>
          <w:szCs w:val="18"/>
          <w:lang w:val="fr-FR"/>
        </w:rPr>
      </w:pPr>
      <w:r>
        <w:rPr>
          <w:rFonts w:asciiTheme="minorHAnsi" w:hAnsiTheme="minorHAnsi" w:cstheme="minorHAnsi"/>
          <w:sz w:val="18"/>
          <w:szCs w:val="18"/>
          <w:lang w:val="fr-FR"/>
        </w:rPr>
        <w:t>L</w:t>
      </w:r>
      <w:r w:rsidR="00F31CB1" w:rsidRPr="00940300">
        <w:rPr>
          <w:rFonts w:asciiTheme="minorHAnsi" w:hAnsiTheme="minorHAnsi" w:cstheme="minorHAnsi"/>
          <w:sz w:val="18"/>
          <w:szCs w:val="18"/>
          <w:lang w:val="fr-FR"/>
        </w:rPr>
        <w:t>es médecins et pharmaciens</w:t>
      </w:r>
      <w:r w:rsidR="00D00CC8"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FC31AD"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peuvent être amenés </w:t>
      </w:r>
      <w:r w:rsidR="00D00CC8"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à réaliser un </w:t>
      </w:r>
      <w:r w:rsidR="00B33DDF" w:rsidRPr="00940300">
        <w:rPr>
          <w:rFonts w:asciiTheme="minorHAnsi" w:hAnsiTheme="minorHAnsi" w:cstheme="minorHAnsi"/>
          <w:sz w:val="18"/>
          <w:szCs w:val="18"/>
          <w:lang w:val="fr-FR"/>
        </w:rPr>
        <w:t>test rapide</w:t>
      </w:r>
      <w:r w:rsidR="00D00CC8"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 angine</w:t>
      </w:r>
      <w:r w:rsidR="00FC31AD"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 dans les situations suivantes</w:t>
      </w:r>
      <w:r w:rsidR="00D00CC8" w:rsidRPr="00940300">
        <w:rPr>
          <w:rFonts w:asciiTheme="minorHAnsi" w:hAnsiTheme="minorHAnsi" w:cstheme="minorHAnsi"/>
          <w:sz w:val="18"/>
          <w:szCs w:val="18"/>
          <w:lang w:val="fr-FR"/>
        </w:rPr>
        <w:t> :</w:t>
      </w:r>
    </w:p>
    <w:p w14:paraId="1A9F3127" w14:textId="77777777" w:rsidR="002C0B51" w:rsidRPr="00940300" w:rsidRDefault="002C0B51" w:rsidP="00616D8D">
      <w:pPr>
        <w:rPr>
          <w:rFonts w:asciiTheme="minorHAnsi" w:hAnsiTheme="minorHAnsi" w:cstheme="minorHAnsi"/>
          <w:sz w:val="18"/>
          <w:szCs w:val="18"/>
          <w:lang w:val="fr-FR"/>
        </w:rPr>
      </w:pPr>
    </w:p>
    <w:p w14:paraId="12931527" w14:textId="48B58653" w:rsidR="00F31CB1" w:rsidRPr="00940300" w:rsidRDefault="00FC31AD" w:rsidP="00FC31AD">
      <w:pPr>
        <w:pStyle w:val="Paragraphedeliste"/>
        <w:numPr>
          <w:ilvl w:val="0"/>
          <w:numId w:val="6"/>
        </w:numPr>
        <w:adjustRightInd w:val="0"/>
        <w:jc w:val="both"/>
        <w:rPr>
          <w:rFonts w:asciiTheme="minorHAnsi" w:hAnsiTheme="minorHAnsi" w:cstheme="minorHAnsi"/>
          <w:sz w:val="18"/>
          <w:szCs w:val="18"/>
          <w:lang w:val="fr-FR"/>
        </w:rPr>
      </w:pPr>
      <w:r w:rsidRPr="00940300">
        <w:rPr>
          <w:rFonts w:asciiTheme="minorHAnsi" w:hAnsiTheme="minorHAnsi" w:cstheme="minorHAnsi"/>
          <w:sz w:val="18"/>
          <w:szCs w:val="18"/>
          <w:lang w:val="fr-FR"/>
        </w:rPr>
        <w:t>Lors de la consultation, l</w:t>
      </w:r>
      <w:r w:rsidR="00201353" w:rsidRPr="00940300">
        <w:rPr>
          <w:rFonts w:asciiTheme="minorHAnsi" w:hAnsiTheme="minorHAnsi" w:cstheme="minorHAnsi"/>
          <w:sz w:val="18"/>
          <w:szCs w:val="18"/>
          <w:lang w:val="fr-FR"/>
        </w:rPr>
        <w:t>e médecin</w:t>
      </w:r>
      <w:r w:rsidR="00B33DDF"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F31CB1"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peut </w:t>
      </w:r>
      <w:r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directement </w:t>
      </w:r>
      <w:r w:rsidR="00201353"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effectuer le </w:t>
      </w:r>
      <w:r w:rsidR="00B33DDF" w:rsidRPr="00940300">
        <w:rPr>
          <w:rFonts w:asciiTheme="minorHAnsi" w:hAnsiTheme="minorHAnsi" w:cstheme="minorHAnsi"/>
          <w:sz w:val="18"/>
          <w:szCs w:val="18"/>
          <w:lang w:val="fr-FR"/>
        </w:rPr>
        <w:t>test rapide</w:t>
      </w:r>
      <w:r w:rsidR="00201353"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 angine</w:t>
      </w:r>
      <w:r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 au patient ;</w:t>
      </w:r>
      <w:r w:rsidR="00201353" w:rsidRPr="00940300">
        <w:rPr>
          <w:rFonts w:asciiTheme="minorHAnsi" w:hAnsiTheme="minorHAnsi" w:cstheme="minorHAnsi"/>
          <w:sz w:val="18"/>
          <w:szCs w:val="18"/>
          <w:lang w:val="fr-FR"/>
        </w:rPr>
        <w:t xml:space="preserve">. </w:t>
      </w:r>
    </w:p>
    <w:p w14:paraId="2E30094E" w14:textId="77777777" w:rsidR="00201353" w:rsidRPr="00940300" w:rsidRDefault="00201353" w:rsidP="00F31CB1">
      <w:pPr>
        <w:pStyle w:val="Paragraphedeliste"/>
        <w:adjustRightInd w:val="0"/>
        <w:ind w:left="720" w:firstLine="0"/>
        <w:jc w:val="both"/>
        <w:rPr>
          <w:rFonts w:asciiTheme="minorHAnsi" w:hAnsiTheme="minorHAnsi" w:cstheme="minorHAnsi"/>
          <w:sz w:val="18"/>
          <w:szCs w:val="18"/>
          <w:lang w:val="fr-FR"/>
        </w:rPr>
      </w:pPr>
    </w:p>
    <w:p w14:paraId="03E1C43D" w14:textId="641709E4" w:rsidR="002C0B51" w:rsidRPr="00F85410" w:rsidRDefault="00FC31AD" w:rsidP="00DF47C8">
      <w:pPr>
        <w:pStyle w:val="Paragraphedeliste"/>
        <w:numPr>
          <w:ilvl w:val="0"/>
          <w:numId w:val="6"/>
        </w:numPr>
        <w:adjustRightInd w:val="0"/>
        <w:jc w:val="both"/>
        <w:rPr>
          <w:rFonts w:asciiTheme="minorHAnsi" w:hAnsiTheme="minorHAnsi" w:cstheme="minorHAnsi"/>
          <w:bCs/>
          <w:sz w:val="18"/>
          <w:szCs w:val="18"/>
          <w:lang w:val="fr-FR"/>
        </w:rPr>
      </w:pPr>
      <w:r w:rsidRPr="00940300">
        <w:rPr>
          <w:rFonts w:asciiTheme="minorHAnsi" w:hAnsiTheme="minorHAnsi" w:cstheme="minorHAnsi"/>
          <w:bCs/>
          <w:sz w:val="18"/>
          <w:szCs w:val="18"/>
          <w:lang w:val="fr-FR"/>
        </w:rPr>
        <w:t>En officine, l</w:t>
      </w:r>
      <w:r w:rsidR="00F31CB1" w:rsidRPr="00940300">
        <w:rPr>
          <w:rFonts w:asciiTheme="minorHAnsi" w:hAnsiTheme="minorHAnsi" w:cstheme="minorHAnsi"/>
          <w:bCs/>
          <w:sz w:val="18"/>
          <w:szCs w:val="18"/>
          <w:lang w:val="fr-FR"/>
        </w:rPr>
        <w:t>e pharmacien</w:t>
      </w:r>
      <w:r w:rsidR="002C0B51" w:rsidRPr="00940300">
        <w:rPr>
          <w:rFonts w:asciiTheme="minorHAnsi" w:hAnsiTheme="minorHAnsi" w:cstheme="minorHAnsi"/>
          <w:bCs/>
          <w:sz w:val="18"/>
          <w:szCs w:val="18"/>
          <w:lang w:val="fr-FR"/>
        </w:rPr>
        <w:t xml:space="preserve"> </w:t>
      </w:r>
      <w:r w:rsidR="00F31CB1" w:rsidRPr="00940300">
        <w:rPr>
          <w:rFonts w:asciiTheme="minorHAnsi" w:hAnsiTheme="minorHAnsi" w:cstheme="minorHAnsi"/>
          <w:bCs/>
          <w:sz w:val="18"/>
          <w:szCs w:val="18"/>
          <w:lang w:val="fr-FR"/>
        </w:rPr>
        <w:t>p</w:t>
      </w:r>
      <w:r w:rsidR="00424920" w:rsidRPr="00940300">
        <w:rPr>
          <w:rFonts w:asciiTheme="minorHAnsi" w:hAnsiTheme="minorHAnsi" w:cstheme="minorHAnsi"/>
          <w:bCs/>
          <w:sz w:val="18"/>
          <w:szCs w:val="18"/>
          <w:lang w:val="fr-FR"/>
        </w:rPr>
        <w:t>ourra</w:t>
      </w:r>
      <w:r w:rsidR="00F31CB1" w:rsidRPr="00940300">
        <w:rPr>
          <w:rFonts w:asciiTheme="minorHAnsi" w:hAnsiTheme="minorHAnsi" w:cstheme="minorHAnsi"/>
          <w:bCs/>
          <w:sz w:val="18"/>
          <w:szCs w:val="18"/>
          <w:lang w:val="fr-FR"/>
        </w:rPr>
        <w:t xml:space="preserve"> également</w:t>
      </w:r>
      <w:r w:rsidR="00F85410">
        <w:rPr>
          <w:rFonts w:asciiTheme="minorHAnsi" w:hAnsiTheme="minorHAnsi" w:cstheme="minorHAnsi"/>
          <w:bCs/>
          <w:sz w:val="18"/>
          <w:szCs w:val="18"/>
          <w:lang w:val="fr-FR"/>
        </w:rPr>
        <w:t>,</w:t>
      </w:r>
      <w:r w:rsidR="00D00CC8" w:rsidRPr="00940300">
        <w:rPr>
          <w:rFonts w:asciiTheme="minorHAnsi" w:hAnsiTheme="minorHAnsi" w:cstheme="minorHAnsi"/>
          <w:bCs/>
          <w:sz w:val="18"/>
          <w:szCs w:val="18"/>
          <w:lang w:val="fr-FR"/>
        </w:rPr>
        <w:t xml:space="preserve"> </w:t>
      </w:r>
      <w:r w:rsidR="00424920" w:rsidRPr="00940300">
        <w:rPr>
          <w:rFonts w:asciiTheme="minorHAnsi" w:hAnsiTheme="minorHAnsi" w:cstheme="minorHAnsi"/>
          <w:bCs/>
          <w:sz w:val="18"/>
          <w:szCs w:val="18"/>
          <w:lang w:val="fr-FR"/>
        </w:rPr>
        <w:t>dès le 1</w:t>
      </w:r>
      <w:r w:rsidR="00424920" w:rsidRPr="00F85410">
        <w:rPr>
          <w:rFonts w:asciiTheme="minorHAnsi" w:hAnsiTheme="minorHAnsi" w:cstheme="minorHAnsi"/>
          <w:bCs/>
          <w:sz w:val="18"/>
          <w:szCs w:val="18"/>
          <w:vertAlign w:val="superscript"/>
          <w:lang w:val="fr-FR"/>
        </w:rPr>
        <w:t>er</w:t>
      </w:r>
      <w:r w:rsidR="00424920" w:rsidRPr="00F85410">
        <w:rPr>
          <w:rFonts w:asciiTheme="minorHAnsi" w:hAnsiTheme="minorHAnsi" w:cstheme="minorHAnsi"/>
          <w:bCs/>
          <w:sz w:val="18"/>
          <w:szCs w:val="18"/>
          <w:lang w:val="fr-FR"/>
        </w:rPr>
        <w:t xml:space="preserve"> juillet 202</w:t>
      </w:r>
      <w:r w:rsidR="00F85410">
        <w:rPr>
          <w:rFonts w:asciiTheme="minorHAnsi" w:hAnsiTheme="minorHAnsi" w:cstheme="minorHAnsi"/>
          <w:bCs/>
          <w:sz w:val="18"/>
          <w:szCs w:val="18"/>
          <w:lang w:val="fr-FR"/>
        </w:rPr>
        <w:t>1,</w:t>
      </w:r>
      <w:r w:rsidR="00424920" w:rsidRPr="00F85410">
        <w:rPr>
          <w:rFonts w:asciiTheme="minorHAnsi" w:hAnsiTheme="minorHAnsi" w:cstheme="minorHAnsi"/>
          <w:bCs/>
          <w:sz w:val="18"/>
          <w:szCs w:val="18"/>
          <w:lang w:val="fr-FR"/>
        </w:rPr>
        <w:t xml:space="preserve"> </w:t>
      </w:r>
      <w:r w:rsidR="00F31CB1" w:rsidRPr="00F85410">
        <w:rPr>
          <w:rFonts w:asciiTheme="minorHAnsi" w:hAnsiTheme="minorHAnsi" w:cstheme="minorHAnsi"/>
          <w:bCs/>
          <w:sz w:val="18"/>
          <w:szCs w:val="18"/>
          <w:lang w:val="fr-FR"/>
        </w:rPr>
        <w:t>réaliser</w:t>
      </w:r>
      <w:r w:rsidR="002C0B51" w:rsidRPr="00F85410">
        <w:rPr>
          <w:rFonts w:asciiTheme="minorHAnsi" w:hAnsiTheme="minorHAnsi" w:cstheme="minorHAnsi"/>
          <w:bCs/>
          <w:sz w:val="18"/>
          <w:szCs w:val="18"/>
          <w:lang w:val="fr-FR"/>
        </w:rPr>
        <w:t xml:space="preserve"> le </w:t>
      </w:r>
      <w:r w:rsidR="00B33DDF" w:rsidRPr="00F85410">
        <w:rPr>
          <w:rFonts w:asciiTheme="minorHAnsi" w:hAnsiTheme="minorHAnsi" w:cstheme="minorHAnsi"/>
          <w:bCs/>
          <w:sz w:val="18"/>
          <w:szCs w:val="18"/>
          <w:lang w:val="fr-FR"/>
        </w:rPr>
        <w:t>test rapide angine</w:t>
      </w:r>
      <w:r w:rsidR="002C0B51" w:rsidRPr="00F85410">
        <w:rPr>
          <w:rFonts w:asciiTheme="minorHAnsi" w:hAnsiTheme="minorHAnsi" w:cstheme="minorHAnsi"/>
          <w:bCs/>
          <w:sz w:val="18"/>
          <w:szCs w:val="18"/>
          <w:lang w:val="fr-FR"/>
        </w:rPr>
        <w:t xml:space="preserve"> </w:t>
      </w:r>
      <w:r w:rsidR="00F31CB1" w:rsidRPr="00F85410">
        <w:rPr>
          <w:rFonts w:asciiTheme="minorHAnsi" w:hAnsiTheme="minorHAnsi" w:cstheme="minorHAnsi"/>
          <w:bCs/>
          <w:sz w:val="18"/>
          <w:szCs w:val="18"/>
          <w:lang w:val="fr-FR"/>
        </w:rPr>
        <w:t>quand les symptômes présentés par le patient le justifient</w:t>
      </w:r>
      <w:r w:rsidR="00E725B8" w:rsidRPr="00F85410">
        <w:rPr>
          <w:rFonts w:asciiTheme="minorHAnsi" w:hAnsiTheme="minorHAnsi" w:cstheme="minorHAnsi"/>
          <w:bCs/>
          <w:sz w:val="18"/>
          <w:szCs w:val="18"/>
          <w:lang w:val="fr-FR"/>
        </w:rPr>
        <w:t>, en l’absence de consultation médicale préalable</w:t>
      </w:r>
      <w:r w:rsidR="003A6CA5" w:rsidRPr="00F85410">
        <w:rPr>
          <w:rFonts w:asciiTheme="minorHAnsi" w:hAnsiTheme="minorHAnsi" w:cstheme="minorHAnsi"/>
          <w:bCs/>
          <w:sz w:val="18"/>
          <w:szCs w:val="18"/>
          <w:lang w:val="fr-FR"/>
        </w:rPr>
        <w:t>, chez les enfants âgés de 10 ans et plus, et chez les adultes</w:t>
      </w:r>
      <w:r w:rsidR="00F31CB1" w:rsidRPr="00F85410">
        <w:rPr>
          <w:rFonts w:asciiTheme="minorHAnsi" w:hAnsiTheme="minorHAnsi" w:cstheme="minorHAnsi"/>
          <w:bCs/>
          <w:sz w:val="18"/>
          <w:szCs w:val="18"/>
          <w:lang w:val="fr-FR"/>
        </w:rPr>
        <w:t>.</w:t>
      </w:r>
      <w:r w:rsidR="002C0B51" w:rsidRPr="00F85410">
        <w:rPr>
          <w:rFonts w:asciiTheme="minorHAnsi" w:hAnsiTheme="minorHAnsi" w:cstheme="minorHAnsi"/>
          <w:bCs/>
          <w:sz w:val="18"/>
          <w:szCs w:val="18"/>
          <w:lang w:val="fr-FR"/>
        </w:rPr>
        <w:t xml:space="preserve"> </w:t>
      </w:r>
      <w:r w:rsidR="00F31CB1" w:rsidRPr="00F85410">
        <w:rPr>
          <w:rFonts w:asciiTheme="minorHAnsi" w:hAnsiTheme="minorHAnsi" w:cstheme="minorHAnsi"/>
          <w:bCs/>
          <w:sz w:val="18"/>
          <w:szCs w:val="18"/>
          <w:lang w:val="fr-FR"/>
        </w:rPr>
        <w:t>En cas de résultat positif</w:t>
      </w:r>
      <w:r w:rsidR="00B33DDF" w:rsidRPr="00F85410">
        <w:rPr>
          <w:rFonts w:asciiTheme="minorHAnsi" w:hAnsiTheme="minorHAnsi" w:cstheme="minorHAnsi"/>
          <w:bCs/>
          <w:sz w:val="18"/>
          <w:szCs w:val="18"/>
          <w:lang w:val="fr-FR"/>
        </w:rPr>
        <w:t xml:space="preserve"> du test</w:t>
      </w:r>
      <w:r w:rsidR="00F31CB1" w:rsidRPr="00F85410">
        <w:rPr>
          <w:rFonts w:asciiTheme="minorHAnsi" w:hAnsiTheme="minorHAnsi" w:cstheme="minorHAnsi"/>
          <w:bCs/>
          <w:sz w:val="18"/>
          <w:szCs w:val="18"/>
          <w:lang w:val="fr-FR"/>
        </w:rPr>
        <w:t>, le pharmacien orientera le patient vers son médecin.</w:t>
      </w:r>
      <w:r w:rsidR="00871A5F" w:rsidRPr="00F85410">
        <w:rPr>
          <w:rFonts w:cstheme="minorHAnsi"/>
          <w:sz w:val="18"/>
          <w:szCs w:val="18"/>
        </w:rPr>
        <w:t xml:space="preserve"> </w:t>
      </w:r>
    </w:p>
    <w:p w14:paraId="073215E8" w14:textId="77777777" w:rsidR="00DF47C8" w:rsidRPr="00F85410" w:rsidRDefault="00DF47C8" w:rsidP="002C0B51">
      <w:pPr>
        <w:adjustRightInd w:val="0"/>
        <w:jc w:val="both"/>
        <w:rPr>
          <w:rFonts w:asciiTheme="minorHAnsi" w:hAnsiTheme="minorHAnsi" w:cstheme="minorHAnsi"/>
          <w:bCs/>
          <w:sz w:val="18"/>
          <w:szCs w:val="18"/>
          <w:lang w:val="fr-FR"/>
        </w:rPr>
      </w:pPr>
    </w:p>
    <w:p w14:paraId="4D7164EA" w14:textId="77777777" w:rsidR="005367FF" w:rsidRDefault="005367FF" w:rsidP="00DF47C8">
      <w:pPr>
        <w:pStyle w:val="Default"/>
        <w:jc w:val="both"/>
        <w:rPr>
          <w:rFonts w:cstheme="minorHAnsi"/>
          <w:sz w:val="18"/>
          <w:szCs w:val="18"/>
        </w:rPr>
      </w:pPr>
    </w:p>
    <w:p w14:paraId="51C03D17" w14:textId="588A51CF" w:rsidR="00AA1C04" w:rsidRPr="00F85410" w:rsidRDefault="00871A5F" w:rsidP="00DF47C8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85410">
        <w:rPr>
          <w:rFonts w:cstheme="minorHAnsi"/>
          <w:sz w:val="18"/>
          <w:szCs w:val="18"/>
        </w:rPr>
        <w:t>En pharmacie, le test est pris en charge à 70% par l’Assurance Maladie.</w:t>
      </w:r>
    </w:p>
    <w:p w14:paraId="3B5B624A" w14:textId="77777777" w:rsidR="000743D8" w:rsidRPr="00F85410" w:rsidRDefault="000743D8" w:rsidP="00DF47C8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56F47053" w14:textId="7853A12E" w:rsidR="00DF47C8" w:rsidRPr="00F85410" w:rsidRDefault="00302DCB" w:rsidP="00DF47C8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85410">
        <w:rPr>
          <w:rFonts w:asciiTheme="minorHAnsi" w:hAnsiTheme="minorHAnsi" w:cstheme="minorHAnsi"/>
          <w:color w:val="auto"/>
          <w:sz w:val="18"/>
          <w:szCs w:val="18"/>
        </w:rPr>
        <w:t>Les recommandations nationales en vigueur concernant la COVID-19 (dont le respect des gestes barrières) sont à prendre en compte</w:t>
      </w:r>
      <w:r w:rsidR="001E3671" w:rsidRPr="00F85410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874318" w:rsidRPr="00F85410">
        <w:rPr>
          <w:rFonts w:asciiTheme="minorHAnsi" w:hAnsiTheme="minorHAnsi" w:cstheme="minorHAnsi"/>
          <w:color w:val="auto"/>
          <w:sz w:val="18"/>
          <w:szCs w:val="18"/>
        </w:rPr>
        <w:t>par tous</w:t>
      </w:r>
      <w:r w:rsidRPr="00F85410">
        <w:rPr>
          <w:rFonts w:asciiTheme="minorHAnsi" w:hAnsiTheme="minorHAnsi" w:cstheme="minorHAnsi"/>
          <w:color w:val="auto"/>
          <w:sz w:val="18"/>
          <w:szCs w:val="18"/>
        </w:rPr>
        <w:t xml:space="preserve">. </w:t>
      </w:r>
    </w:p>
    <w:p w14:paraId="4D62E05C" w14:textId="77777777" w:rsidR="00E83DE6" w:rsidRPr="00F85410" w:rsidRDefault="00E83DE6" w:rsidP="00DF47C8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24ACF89F" w14:textId="1B9942B4" w:rsidR="003F60A8" w:rsidRPr="00F85410" w:rsidRDefault="003F60A8" w:rsidP="00DF47C8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24DEC401" w14:textId="77777777" w:rsidR="005367FF" w:rsidRDefault="005367FF" w:rsidP="00DF47C8">
      <w:pPr>
        <w:pStyle w:val="Default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61A0A0F2" w14:textId="266FAA23" w:rsidR="003F60A8" w:rsidRPr="00F85410" w:rsidRDefault="003F60A8" w:rsidP="00DF47C8">
      <w:pPr>
        <w:pStyle w:val="Default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F85410">
        <w:rPr>
          <w:rFonts w:asciiTheme="minorHAnsi" w:hAnsiTheme="minorHAnsi" w:cstheme="minorHAnsi"/>
          <w:b/>
          <w:color w:val="auto"/>
          <w:sz w:val="18"/>
          <w:szCs w:val="18"/>
        </w:rPr>
        <w:t>Pour plus d’informations :</w:t>
      </w:r>
    </w:p>
    <w:p w14:paraId="457473B4" w14:textId="2D304ADF" w:rsidR="003F60A8" w:rsidRPr="00F85410" w:rsidRDefault="003F60A8" w:rsidP="00DF47C8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4E2F2AB4" w14:textId="42F5EC5B" w:rsidR="003F60A8" w:rsidRPr="00F85410" w:rsidRDefault="001E3671" w:rsidP="00DF47C8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F85410">
        <w:rPr>
          <w:rFonts w:asciiTheme="minorHAnsi" w:hAnsiTheme="minorHAnsi" w:cstheme="minorHAnsi"/>
          <w:color w:val="auto"/>
          <w:sz w:val="18"/>
          <w:szCs w:val="18"/>
        </w:rPr>
        <w:t xml:space="preserve">Dossier spécial « tests rapides angine » : </w:t>
      </w:r>
      <w:hyperlink r:id="rId13" w:history="1">
        <w:r w:rsidR="003F60A8" w:rsidRPr="00F85410">
          <w:rPr>
            <w:rStyle w:val="Lienhypertexte"/>
            <w:rFonts w:asciiTheme="minorHAnsi" w:hAnsiTheme="minorHAnsi" w:cstheme="minorHAnsi"/>
            <w:sz w:val="18"/>
            <w:szCs w:val="18"/>
          </w:rPr>
          <w:t>www.antibiotiques.gouv.fr</w:t>
        </w:r>
      </w:hyperlink>
    </w:p>
    <w:p w14:paraId="79F019D0" w14:textId="77777777" w:rsidR="005367FF" w:rsidRDefault="005367FF" w:rsidP="00DF47C8">
      <w:pPr>
        <w:pStyle w:val="Default"/>
        <w:jc w:val="both"/>
        <w:rPr>
          <w:sz w:val="18"/>
          <w:szCs w:val="18"/>
        </w:rPr>
      </w:pPr>
    </w:p>
    <w:p w14:paraId="0330020D" w14:textId="5E36DE04" w:rsidR="00FE61BC" w:rsidRPr="00F85410" w:rsidRDefault="00964361" w:rsidP="00DF47C8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hyperlink r:id="rId14" w:history="1">
        <w:r w:rsidR="00FE61BC" w:rsidRPr="00F85410">
          <w:rPr>
            <w:rStyle w:val="Lienhypertexte"/>
            <w:rFonts w:asciiTheme="minorHAnsi" w:hAnsiTheme="minorHAnsi" w:cstheme="minorHAnsi"/>
            <w:sz w:val="18"/>
            <w:szCs w:val="18"/>
          </w:rPr>
          <w:t>https://solidarites-sante.gouv.fr/prevention-en-sante/les-antibiotiques-des-medicaments-essentiels-a-preserver/</w:t>
        </w:r>
      </w:hyperlink>
    </w:p>
    <w:p w14:paraId="269475EC" w14:textId="220EC587" w:rsidR="00FE61BC" w:rsidRPr="00F85410" w:rsidRDefault="00964361" w:rsidP="00DF47C8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hyperlink r:id="rId15" w:history="1">
        <w:r w:rsidR="00FE61BC" w:rsidRPr="00F85410">
          <w:rPr>
            <w:rStyle w:val="Lienhypertexte"/>
            <w:rFonts w:asciiTheme="minorHAnsi" w:hAnsiTheme="minorHAnsi" w:cstheme="minorHAnsi"/>
            <w:sz w:val="18"/>
            <w:szCs w:val="18"/>
          </w:rPr>
          <w:t>https://www.santepubliquefrance.fr/les-actualites/2020/consommation-d-antibiotiques-et-antibioresistance-en-france-en-2019</w:t>
        </w:r>
      </w:hyperlink>
    </w:p>
    <w:p w14:paraId="46585AE0" w14:textId="77777777" w:rsidR="003F60A8" w:rsidRPr="00F85410" w:rsidRDefault="003F60A8" w:rsidP="00C57DCD">
      <w:pPr>
        <w:jc w:val="both"/>
        <w:rPr>
          <w:rFonts w:ascii="Calibri" w:hAnsi="Calibri" w:cs="Calibri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E624D" w:rsidRPr="005367FF" w14:paraId="29D760B8" w14:textId="77777777" w:rsidTr="008E624D">
        <w:tc>
          <w:tcPr>
            <w:tcW w:w="9972" w:type="dxa"/>
          </w:tcPr>
          <w:p w14:paraId="04B3304E" w14:textId="77777777" w:rsidR="008E624D" w:rsidRPr="00F85410" w:rsidRDefault="008E624D" w:rsidP="008E624D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F8541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Pour éviter que les bactéries deviennent résistantes au traitement et ainsi maintenir l’efficacité des antibiotiques lorsqu’ils sont nécessaires, </w:t>
            </w:r>
            <w:proofErr w:type="spellStart"/>
            <w:r w:rsidRPr="00F8541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Antibio’Malin</w:t>
            </w:r>
            <w:proofErr w:type="spellEnd"/>
            <w:r w:rsidRPr="00F8541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m’aide à mieux utiliser ces médicaments et à les prendre à bon escient.</w:t>
            </w:r>
          </w:p>
          <w:p w14:paraId="63CC25EA" w14:textId="0E00AABC" w:rsidR="008E624D" w:rsidRPr="00F85410" w:rsidRDefault="008E624D" w:rsidP="003F60A8">
            <w:pPr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F8541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Pour tout savoir, je consulte </w:t>
            </w:r>
            <w:proofErr w:type="spellStart"/>
            <w:r w:rsidRPr="00F8541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Antibio’Malin</w:t>
            </w:r>
            <w:proofErr w:type="spellEnd"/>
            <w:r w:rsidRPr="00F8541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: </w:t>
            </w:r>
            <w:hyperlink r:id="rId16" w:history="1">
              <w:r w:rsidRPr="00964361">
                <w:rPr>
                  <w:rStyle w:val="Lienhypertexte"/>
                  <w:rFonts w:asciiTheme="minorHAnsi" w:hAnsiTheme="minorHAnsi" w:cstheme="minorHAnsi"/>
                  <w:sz w:val="18"/>
                  <w:szCs w:val="18"/>
                  <w:lang w:val="fr-FR"/>
                </w:rPr>
                <w:t>www.sante.fr/antibiomalin</w:t>
              </w:r>
            </w:hyperlink>
            <w:bookmarkStart w:id="0" w:name="_GoBack"/>
            <w:bookmarkEnd w:id="0"/>
          </w:p>
        </w:tc>
      </w:tr>
    </w:tbl>
    <w:p w14:paraId="7E842E66" w14:textId="7936A1EE" w:rsidR="008E624D" w:rsidRPr="00F85410" w:rsidRDefault="008E624D" w:rsidP="008E624D">
      <w:pPr>
        <w:adjustRightInd w:val="0"/>
        <w:jc w:val="both"/>
        <w:rPr>
          <w:rFonts w:asciiTheme="minorHAnsi" w:hAnsiTheme="minorHAnsi" w:cstheme="minorHAnsi"/>
          <w:sz w:val="18"/>
          <w:szCs w:val="18"/>
          <w:lang w:val="fr-FR"/>
        </w:rPr>
      </w:pPr>
    </w:p>
    <w:p w14:paraId="59221C2D" w14:textId="1955B2B1" w:rsidR="00940300" w:rsidRDefault="00940300">
      <w:pPr>
        <w:adjustRightInd w:val="0"/>
        <w:jc w:val="both"/>
        <w:rPr>
          <w:noProof/>
          <w:sz w:val="18"/>
          <w:szCs w:val="18"/>
          <w:lang w:val="fr-FR" w:eastAsia="fr-FR"/>
        </w:rPr>
      </w:pPr>
    </w:p>
    <w:p w14:paraId="5AB35B02" w14:textId="3243BAF0" w:rsidR="005367FF" w:rsidRDefault="00940300">
      <w:pPr>
        <w:adjustRightInd w:val="0"/>
        <w:jc w:val="both"/>
        <w:rPr>
          <w:b/>
          <w:lang w:val="fr-FR"/>
        </w:rPr>
      </w:pPr>
      <w:r w:rsidRPr="00F85410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CCB05E8" wp14:editId="409BB0A5">
            <wp:simplePos x="0" y="0"/>
            <wp:positionH relativeFrom="margin">
              <wp:posOffset>4407535</wp:posOffset>
            </wp:positionH>
            <wp:positionV relativeFrom="margin">
              <wp:posOffset>7742555</wp:posOffset>
            </wp:positionV>
            <wp:extent cx="1666875" cy="10191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ntibiotiques_0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9" t="19412" r="12205" b="17647"/>
                    <a:stretch/>
                  </pic:blipFill>
                  <pic:spPr bwMode="auto">
                    <a:xfrm>
                      <a:off x="0" y="0"/>
                      <a:ext cx="166687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DB37B" w14:textId="77777777" w:rsidR="005367FF" w:rsidRDefault="005367FF">
      <w:pPr>
        <w:adjustRightInd w:val="0"/>
        <w:jc w:val="both"/>
        <w:rPr>
          <w:b/>
          <w:lang w:val="fr-FR"/>
        </w:rPr>
      </w:pPr>
    </w:p>
    <w:p w14:paraId="4640BBEC" w14:textId="79D94F29" w:rsidR="0077530B" w:rsidRPr="00F85410" w:rsidRDefault="0077530B">
      <w:pPr>
        <w:adjustRightInd w:val="0"/>
        <w:jc w:val="both"/>
        <w:rPr>
          <w:b/>
          <w:lang w:val="fr-FR"/>
        </w:rPr>
      </w:pPr>
      <w:r w:rsidRPr="00F85410">
        <w:rPr>
          <w:b/>
          <w:lang w:val="fr-FR"/>
        </w:rPr>
        <w:t>Contact presse</w:t>
      </w:r>
    </w:p>
    <w:p w14:paraId="74D279C7" w14:textId="33ED82EB" w:rsidR="0077530B" w:rsidRDefault="0077530B">
      <w:pPr>
        <w:adjustRightInd w:val="0"/>
        <w:jc w:val="both"/>
        <w:rPr>
          <w:lang w:val="fr-FR"/>
        </w:rPr>
      </w:pPr>
      <w:r>
        <w:rPr>
          <w:lang w:val="fr-FR"/>
        </w:rPr>
        <w:t>Direction générale de la Santé</w:t>
      </w:r>
    </w:p>
    <w:p w14:paraId="39C43089" w14:textId="1CB4007B" w:rsidR="0077530B" w:rsidRPr="00E725B8" w:rsidRDefault="00964361">
      <w:pPr>
        <w:adjustRightInd w:val="0"/>
        <w:jc w:val="both"/>
        <w:rPr>
          <w:lang w:val="fr-FR"/>
        </w:rPr>
      </w:pPr>
      <w:hyperlink r:id="rId18" w:history="1">
        <w:r w:rsidR="0077530B" w:rsidRPr="00E6195D">
          <w:rPr>
            <w:rStyle w:val="Lienhypertexte"/>
            <w:lang w:val="fr-FR"/>
          </w:rPr>
          <w:t>Presse-dgs@sante.gouv.fr</w:t>
        </w:r>
      </w:hyperlink>
      <w:r w:rsidR="0077530B">
        <w:rPr>
          <w:lang w:val="fr-FR"/>
        </w:rPr>
        <w:t xml:space="preserve"> – 01 40 56 84 00</w:t>
      </w:r>
    </w:p>
    <w:sectPr w:rsidR="0077530B" w:rsidRPr="00E725B8" w:rsidSect="00F60753">
      <w:headerReference w:type="default" r:id="rId19"/>
      <w:footerReference w:type="default" r:id="rId20"/>
      <w:type w:val="continuous"/>
      <w:pgSz w:w="11910" w:h="16840"/>
      <w:pgMar w:top="963" w:right="964" w:bottom="965" w:left="964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BA780" w16cex:dateUtc="2021-05-28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F230B9" w16cid:durableId="245BA7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2E27A" w14:textId="77777777" w:rsidR="00FC46B1" w:rsidRDefault="00FC46B1" w:rsidP="0079276E">
      <w:r>
        <w:separator/>
      </w:r>
    </w:p>
  </w:endnote>
  <w:endnote w:type="continuationSeparator" w:id="0">
    <w:p w14:paraId="399FDB96" w14:textId="77777777" w:rsidR="00FC46B1" w:rsidRDefault="00FC46B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187781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251CC0E" w14:textId="77777777"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70E1DB0" w14:textId="77777777"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5BA6B" w14:textId="77777777" w:rsidR="00075639" w:rsidRDefault="00075639"/>
  <w:p w14:paraId="5E280806" w14:textId="77777777" w:rsidR="00965B19" w:rsidRPr="00045911" w:rsidRDefault="00965B19" w:rsidP="00F40A5B">
    <w:pPr>
      <w:tabs>
        <w:tab w:val="left" w:pos="5009"/>
      </w:tabs>
      <w:spacing w:line="170" w:lineRule="exact"/>
      <w:ind w:right="59"/>
      <w:rPr>
        <w:sz w:val="1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2B58" w14:textId="77777777" w:rsidR="000E64B8" w:rsidRPr="00965B19" w:rsidRDefault="000E64B8" w:rsidP="0079276E">
    <w:pPr>
      <w:tabs>
        <w:tab w:val="left" w:pos="5009"/>
      </w:tabs>
      <w:spacing w:line="170" w:lineRule="exact"/>
      <w:ind w:left="111"/>
      <w:rPr>
        <w:sz w:val="14"/>
      </w:rPr>
    </w:pPr>
  </w:p>
  <w:p w14:paraId="3B21CFFF" w14:textId="3DB6F6E5" w:rsidR="00C27E6A" w:rsidRPr="00C27E6A" w:rsidRDefault="00C27E6A" w:rsidP="00874AA0">
    <w:pPr>
      <w:pStyle w:val="Pieddepage"/>
      <w:framePr w:wrap="none" w:vAnchor="text" w:hAnchor="margin" w:xAlign="center" w:y="290"/>
      <w:rPr>
        <w:rStyle w:val="Numrodepage"/>
        <w:sz w:val="14"/>
        <w:szCs w:val="14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2"/>
    </w:tblGrid>
    <w:tr w:rsidR="00D8134F" w:rsidRPr="003A6CA5" w14:paraId="0E948691" w14:textId="77777777" w:rsidTr="003926A1">
      <w:trPr>
        <w:trHeight w:val="629"/>
      </w:trPr>
      <w:tc>
        <w:tcPr>
          <w:tcW w:w="5072" w:type="dxa"/>
          <w:vAlign w:val="bottom"/>
        </w:tcPr>
        <w:p w14:paraId="1B353B63" w14:textId="77777777" w:rsidR="00D8134F" w:rsidRPr="00F60753" w:rsidRDefault="00D8134F" w:rsidP="00F60753">
          <w:pPr>
            <w:spacing w:line="161" w:lineRule="exact"/>
            <w:rPr>
              <w:color w:val="939598"/>
              <w:sz w:val="14"/>
              <w:lang w:val="fr-FR"/>
            </w:rPr>
          </w:pPr>
        </w:p>
        <w:p w14:paraId="7700CB20" w14:textId="77777777" w:rsidR="00D8134F" w:rsidRPr="0047637F" w:rsidRDefault="00D8134F" w:rsidP="00F85410">
          <w:pPr>
            <w:pStyle w:val="Default"/>
            <w:rPr>
              <w:lang w:val="en-US"/>
            </w:rPr>
          </w:pPr>
        </w:p>
      </w:tc>
    </w:tr>
  </w:tbl>
  <w:p w14:paraId="72FB328D" w14:textId="77777777" w:rsidR="000E64B8" w:rsidRPr="00965B19" w:rsidRDefault="000E64B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7E7D1" w14:textId="77777777" w:rsidR="00FC46B1" w:rsidRDefault="00FC46B1" w:rsidP="0079276E">
      <w:r>
        <w:separator/>
      </w:r>
    </w:p>
  </w:footnote>
  <w:footnote w:type="continuationSeparator" w:id="0">
    <w:p w14:paraId="49DBF5DC" w14:textId="77777777" w:rsidR="00FC46B1" w:rsidRDefault="00FC46B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142FF" w14:textId="77777777" w:rsidR="00992DBA" w:rsidRDefault="00797C04" w:rsidP="0047231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255CCCDD" wp14:editId="3F0EF096">
          <wp:simplePos x="0" y="0"/>
          <wp:positionH relativeFrom="column">
            <wp:posOffset>-154940</wp:posOffset>
          </wp:positionH>
          <wp:positionV relativeFrom="paragraph">
            <wp:posOffset>0</wp:posOffset>
          </wp:positionV>
          <wp:extent cx="1619250" cy="125984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IN_Solidarites_Sant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4873F160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2FFC752" w14:textId="77777777" w:rsidR="0079276E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B2DDB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598"/>
    <w:multiLevelType w:val="hybridMultilevel"/>
    <w:tmpl w:val="8BEA2212"/>
    <w:lvl w:ilvl="0" w:tplc="03449E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866AC"/>
    <w:multiLevelType w:val="hybridMultilevel"/>
    <w:tmpl w:val="414C5C2A"/>
    <w:lvl w:ilvl="0" w:tplc="C8AAD52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E3"/>
    <w:rsid w:val="000127EA"/>
    <w:rsid w:val="000257DD"/>
    <w:rsid w:val="00045911"/>
    <w:rsid w:val="00065060"/>
    <w:rsid w:val="000743D8"/>
    <w:rsid w:val="00075639"/>
    <w:rsid w:val="00075F14"/>
    <w:rsid w:val="00076B31"/>
    <w:rsid w:val="00080261"/>
    <w:rsid w:val="00080843"/>
    <w:rsid w:val="000924D0"/>
    <w:rsid w:val="000948F1"/>
    <w:rsid w:val="000B2933"/>
    <w:rsid w:val="000B5F64"/>
    <w:rsid w:val="000E2D9B"/>
    <w:rsid w:val="000E64B8"/>
    <w:rsid w:val="000F53D3"/>
    <w:rsid w:val="001078B3"/>
    <w:rsid w:val="00110401"/>
    <w:rsid w:val="00140231"/>
    <w:rsid w:val="00142A22"/>
    <w:rsid w:val="00147A2B"/>
    <w:rsid w:val="001B7AF9"/>
    <w:rsid w:val="001D021D"/>
    <w:rsid w:val="001E3671"/>
    <w:rsid w:val="00201353"/>
    <w:rsid w:val="00213FF5"/>
    <w:rsid w:val="00230A92"/>
    <w:rsid w:val="002405F5"/>
    <w:rsid w:val="002622F6"/>
    <w:rsid w:val="00290741"/>
    <w:rsid w:val="002968D9"/>
    <w:rsid w:val="002A483F"/>
    <w:rsid w:val="002C0B51"/>
    <w:rsid w:val="00302DCB"/>
    <w:rsid w:val="00325B5D"/>
    <w:rsid w:val="00351D49"/>
    <w:rsid w:val="0035355E"/>
    <w:rsid w:val="00361129"/>
    <w:rsid w:val="00375D43"/>
    <w:rsid w:val="003A6CA5"/>
    <w:rsid w:val="003F60A8"/>
    <w:rsid w:val="00424920"/>
    <w:rsid w:val="004714C6"/>
    <w:rsid w:val="0047231F"/>
    <w:rsid w:val="0047637F"/>
    <w:rsid w:val="00491912"/>
    <w:rsid w:val="004B4946"/>
    <w:rsid w:val="004F011D"/>
    <w:rsid w:val="004F403D"/>
    <w:rsid w:val="005011B0"/>
    <w:rsid w:val="00523628"/>
    <w:rsid w:val="0052376B"/>
    <w:rsid w:val="005367FF"/>
    <w:rsid w:val="005417EF"/>
    <w:rsid w:val="00546BA2"/>
    <w:rsid w:val="0057679F"/>
    <w:rsid w:val="00584ED7"/>
    <w:rsid w:val="005F2E98"/>
    <w:rsid w:val="006107E7"/>
    <w:rsid w:val="006108C7"/>
    <w:rsid w:val="00612D69"/>
    <w:rsid w:val="00616D8D"/>
    <w:rsid w:val="0063635F"/>
    <w:rsid w:val="0064617C"/>
    <w:rsid w:val="00681D72"/>
    <w:rsid w:val="006941E3"/>
    <w:rsid w:val="006A71E0"/>
    <w:rsid w:val="006B6D26"/>
    <w:rsid w:val="006D6820"/>
    <w:rsid w:val="006E4D10"/>
    <w:rsid w:val="0071738F"/>
    <w:rsid w:val="00747A49"/>
    <w:rsid w:val="00756175"/>
    <w:rsid w:val="0077530B"/>
    <w:rsid w:val="0079276E"/>
    <w:rsid w:val="00794C75"/>
    <w:rsid w:val="00797C04"/>
    <w:rsid w:val="007F2C9C"/>
    <w:rsid w:val="00807CCD"/>
    <w:rsid w:val="00851458"/>
    <w:rsid w:val="0085454E"/>
    <w:rsid w:val="00854688"/>
    <w:rsid w:val="00871A5F"/>
    <w:rsid w:val="00874318"/>
    <w:rsid w:val="00874AA0"/>
    <w:rsid w:val="00881E9F"/>
    <w:rsid w:val="00882562"/>
    <w:rsid w:val="00882D33"/>
    <w:rsid w:val="008D59BF"/>
    <w:rsid w:val="008D63A4"/>
    <w:rsid w:val="008E624D"/>
    <w:rsid w:val="009359DF"/>
    <w:rsid w:val="00940300"/>
    <w:rsid w:val="00942B28"/>
    <w:rsid w:val="00961EFE"/>
    <w:rsid w:val="00964361"/>
    <w:rsid w:val="00965B19"/>
    <w:rsid w:val="00986FC4"/>
    <w:rsid w:val="00992DBA"/>
    <w:rsid w:val="009A4BCB"/>
    <w:rsid w:val="009A5BEE"/>
    <w:rsid w:val="009B302B"/>
    <w:rsid w:val="009C2BC3"/>
    <w:rsid w:val="009F586D"/>
    <w:rsid w:val="00A15129"/>
    <w:rsid w:val="00A30EA6"/>
    <w:rsid w:val="00A452B3"/>
    <w:rsid w:val="00A738D4"/>
    <w:rsid w:val="00AA1C04"/>
    <w:rsid w:val="00AB0307"/>
    <w:rsid w:val="00AD2B0C"/>
    <w:rsid w:val="00AE125E"/>
    <w:rsid w:val="00B01231"/>
    <w:rsid w:val="00B208E7"/>
    <w:rsid w:val="00B33DDF"/>
    <w:rsid w:val="00B403D0"/>
    <w:rsid w:val="00B864B8"/>
    <w:rsid w:val="00B90CB7"/>
    <w:rsid w:val="00BA73F1"/>
    <w:rsid w:val="00BB1299"/>
    <w:rsid w:val="00C1578D"/>
    <w:rsid w:val="00C21EE2"/>
    <w:rsid w:val="00C260F6"/>
    <w:rsid w:val="00C27E6A"/>
    <w:rsid w:val="00C43709"/>
    <w:rsid w:val="00C57DCD"/>
    <w:rsid w:val="00C61458"/>
    <w:rsid w:val="00C67312"/>
    <w:rsid w:val="00CB238D"/>
    <w:rsid w:val="00CC3493"/>
    <w:rsid w:val="00CD4579"/>
    <w:rsid w:val="00CD5E65"/>
    <w:rsid w:val="00CF6461"/>
    <w:rsid w:val="00D00CC8"/>
    <w:rsid w:val="00D10C52"/>
    <w:rsid w:val="00D16806"/>
    <w:rsid w:val="00D419E0"/>
    <w:rsid w:val="00D8134F"/>
    <w:rsid w:val="00DB5393"/>
    <w:rsid w:val="00DF47C8"/>
    <w:rsid w:val="00E00E6D"/>
    <w:rsid w:val="00E1750F"/>
    <w:rsid w:val="00E725B8"/>
    <w:rsid w:val="00E73216"/>
    <w:rsid w:val="00E83DE6"/>
    <w:rsid w:val="00EA097D"/>
    <w:rsid w:val="00EB01A5"/>
    <w:rsid w:val="00EB2F74"/>
    <w:rsid w:val="00EB6967"/>
    <w:rsid w:val="00EE0E18"/>
    <w:rsid w:val="00F01710"/>
    <w:rsid w:val="00F27D8F"/>
    <w:rsid w:val="00F31CB1"/>
    <w:rsid w:val="00F40A5B"/>
    <w:rsid w:val="00F602D0"/>
    <w:rsid w:val="00F60753"/>
    <w:rsid w:val="00F60DE1"/>
    <w:rsid w:val="00F64B8F"/>
    <w:rsid w:val="00F820DC"/>
    <w:rsid w:val="00F85410"/>
    <w:rsid w:val="00FB6A61"/>
    <w:rsid w:val="00FC1ADE"/>
    <w:rsid w:val="00FC31AD"/>
    <w:rsid w:val="00FC46B1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58BDC1"/>
  <w15:docId w15:val="{E7B077E3-41BB-4569-BD21-C8FCAF7B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B19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Mentionnonrsolue1">
    <w:name w:val="Mention non résolue1"/>
    <w:basedOn w:val="Policepardfaut"/>
    <w:uiPriority w:val="99"/>
    <w:semiHidden/>
    <w:unhideWhenUsed/>
    <w:rsid w:val="00080843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57DCD"/>
    <w:pPr>
      <w:widowControl/>
      <w:autoSpaceDE/>
      <w:autoSpaceDN/>
    </w:pPr>
    <w:rPr>
      <w:rFonts w:asciiTheme="minorHAnsi" w:hAnsiTheme="minorHAnsi" w:cstheme="minorBidi"/>
      <w:sz w:val="22"/>
      <w:szCs w:val="22"/>
      <w:lang w:val="fr-FR"/>
    </w:rPr>
  </w:style>
  <w:style w:type="paragraph" w:customStyle="1" w:styleId="Default">
    <w:name w:val="Default"/>
    <w:qFormat/>
    <w:rsid w:val="00C57DCD"/>
    <w:pPr>
      <w:widowControl/>
      <w:adjustRightInd w:val="0"/>
    </w:pPr>
    <w:rPr>
      <w:color w:val="000000"/>
      <w:sz w:val="24"/>
      <w:szCs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A1C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A1C04"/>
    <w:pPr>
      <w:widowControl/>
      <w:autoSpaceDE/>
      <w:autoSpaceDN/>
      <w:spacing w:after="200"/>
    </w:pPr>
    <w:rPr>
      <w:rFonts w:asciiTheme="minorHAnsi" w:eastAsiaTheme="minorEastAsia" w:hAnsiTheme="minorHAnsi" w:cstheme="minorBidi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AA1C04"/>
    <w:rPr>
      <w:rFonts w:asciiTheme="minorHAnsi" w:eastAsiaTheme="minorEastAsia" w:hAnsiTheme="minorHAnsi" w:cstheme="minorBidi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C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C04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C3493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586D"/>
    <w:pPr>
      <w:widowControl w:val="0"/>
      <w:autoSpaceDE w:val="0"/>
      <w:autoSpaceDN w:val="0"/>
      <w:spacing w:after="0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586D"/>
    <w:rPr>
      <w:rFonts w:asciiTheme="minorHAnsi" w:eastAsiaTheme="minorEastAsia" w:hAnsiTheme="minorHAnsi" w:cstheme="minorBidi"/>
      <w:b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40300"/>
    <w:rPr>
      <w:color w:val="5770B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ntibiotiques.gouv.fr" TargetMode="External"/><Relationship Id="rId18" Type="http://schemas.openxmlformats.org/officeDocument/2006/relationships/hyperlink" Target="mailto:Presse-dgs@sante.gouv.fr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ntibiotiques.gouv.fr/" TargetMode="External"/><Relationship Id="rId17" Type="http://schemas.openxmlformats.org/officeDocument/2006/relationships/image" Target="media/image2.jpg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www.sante.fr/antibiomalin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nte.fr/antibiomal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ntepubliquefrance.fr/les-actualites/2020/consommation-d-antibiotiques-et-antibioresistance-en-france-en-2019" TargetMode="Externa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olidarites-sante.gouv.fr/prevention-en-sante/les-antibiotiques-des-medicaments-essentiels-a-preserve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jat.moussi\Desktop\Trames%20documents%20DGS\CP_DGS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6FB7-EE69-41E7-9274-9F789A62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CP_DGS.dotx</Template>
  <TotalTime>1</TotalTime>
  <Pages>1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MOUSSI, Najat (DGS)</dc:creator>
  <cp:lastModifiedBy>JAFFRE, Pauline (DGS/MICOM)</cp:lastModifiedBy>
  <cp:revision>3</cp:revision>
  <dcterms:created xsi:type="dcterms:W3CDTF">2021-06-15T07:09:00Z</dcterms:created>
  <dcterms:modified xsi:type="dcterms:W3CDTF">2021-06-15T07:30:00Z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