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7E556969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1F3019">
        <w:rPr>
          <w:rFonts w:cstheme="minorHAnsi"/>
        </w:rPr>
        <w:t>1</w:t>
      </w:r>
      <w:r w:rsidR="00746B66">
        <w:rPr>
          <w:rFonts w:cstheme="minorHAnsi"/>
        </w:rPr>
        <w:t>9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014CEA35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746B66">
        <w:rPr>
          <w:rFonts w:cstheme="minorHAnsi"/>
          <w:b/>
        </w:rPr>
        <w:t>9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C42BD4" w:rsidRPr="00C42BD4">
        <w:rPr>
          <w:rFonts w:cstheme="minorHAnsi"/>
          <w:b/>
          <w:bCs/>
        </w:rPr>
        <w:t>prè</w:t>
      </w:r>
      <w:r w:rsidR="00F57F35" w:rsidRPr="00C42BD4">
        <w:rPr>
          <w:rFonts w:cstheme="minorHAnsi"/>
          <w:b/>
          <w:bCs/>
        </w:rPr>
        <w:t>s de</w:t>
      </w:r>
      <w:r w:rsidR="00F57F35" w:rsidRPr="00C42BD4">
        <w:rPr>
          <w:b/>
          <w:bCs/>
          <w:lang w:eastAsia="fr-FR"/>
        </w:rPr>
        <w:t xml:space="preserve"> </w:t>
      </w:r>
      <w:r w:rsidR="00C42BD4" w:rsidRPr="00C42BD4">
        <w:rPr>
          <w:b/>
          <w:bCs/>
          <w:lang w:eastAsia="fr-FR"/>
        </w:rPr>
        <w:t>17 430 000</w:t>
      </w:r>
      <w:r w:rsidR="00F57F35" w:rsidRPr="00C42BD4">
        <w:rPr>
          <w:b/>
          <w:bCs/>
          <w:lang w:eastAsia="fr-FR"/>
        </w:rPr>
        <w:t> </w:t>
      </w:r>
      <w:r w:rsidR="003B4945" w:rsidRPr="00C42BD4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735BA58B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 xml:space="preserve">vaccination en </w:t>
      </w:r>
      <w:r w:rsidRPr="00C42BD4">
        <w:rPr>
          <w:rFonts w:cstheme="minorHAnsi"/>
          <w:bCs/>
        </w:rPr>
        <w:t>France,</w:t>
      </w:r>
      <w:r w:rsidR="007F7EA8" w:rsidRPr="00C42BD4">
        <w:rPr>
          <w:rFonts w:cstheme="minorHAnsi"/>
          <w:bCs/>
        </w:rPr>
        <w:t xml:space="preserve"> </w:t>
      </w:r>
      <w:r w:rsidR="00C42BD4" w:rsidRPr="00C42BD4">
        <w:rPr>
          <w:rFonts w:cstheme="minorHAnsi"/>
          <w:bCs/>
        </w:rPr>
        <w:t>12 751 098</w:t>
      </w:r>
      <w:r w:rsidR="00F57F35" w:rsidRPr="00C42BD4">
        <w:rPr>
          <w:lang w:eastAsia="fr-FR"/>
        </w:rPr>
        <w:t xml:space="preserve"> </w:t>
      </w:r>
      <w:r w:rsidR="000A6E75" w:rsidRPr="00C42BD4">
        <w:rPr>
          <w:rFonts w:cstheme="minorHAnsi"/>
          <w:bCs/>
        </w:rPr>
        <w:t>p</w:t>
      </w:r>
      <w:r w:rsidR="00181B28" w:rsidRPr="00C42BD4">
        <w:rPr>
          <w:rFonts w:cstheme="minorHAnsi"/>
          <w:bCs/>
        </w:rPr>
        <w:t xml:space="preserve">ersonnes ont reçu au moins une </w:t>
      </w:r>
      <w:r w:rsidRPr="00C42BD4">
        <w:rPr>
          <w:rFonts w:cstheme="minorHAnsi"/>
          <w:bCs/>
        </w:rPr>
        <w:t>injection</w:t>
      </w:r>
      <w:r w:rsidR="002E1108" w:rsidRPr="00C42BD4">
        <w:rPr>
          <w:rFonts w:cstheme="minorHAnsi"/>
          <w:bCs/>
        </w:rPr>
        <w:t xml:space="preserve"> (soit </w:t>
      </w:r>
      <w:r w:rsidR="00C42BD4" w:rsidRPr="00C42BD4">
        <w:rPr>
          <w:rFonts w:cstheme="minorHAnsi"/>
          <w:bCs/>
        </w:rPr>
        <w:t>19</w:t>
      </w:r>
      <w:r w:rsidR="003B4945" w:rsidRPr="00C42BD4">
        <w:rPr>
          <w:rFonts w:cstheme="minorHAnsi"/>
          <w:bCs/>
        </w:rPr>
        <w:t xml:space="preserve"> </w:t>
      </w:r>
      <w:r w:rsidR="002E1108" w:rsidRPr="00C42BD4">
        <w:rPr>
          <w:rFonts w:cstheme="minorHAnsi"/>
          <w:bCs/>
        </w:rPr>
        <w:t>% de la population totale</w:t>
      </w:r>
      <w:r w:rsidR="00014DA9" w:rsidRPr="00C42BD4">
        <w:rPr>
          <w:rFonts w:cstheme="minorHAnsi"/>
          <w:bCs/>
        </w:rPr>
        <w:t xml:space="preserve"> et </w:t>
      </w:r>
      <w:r w:rsidR="00C42BD4" w:rsidRPr="00C42BD4">
        <w:rPr>
          <w:rFonts w:cstheme="minorHAnsi"/>
          <w:bCs/>
        </w:rPr>
        <w:t>24,3</w:t>
      </w:r>
      <w:r w:rsidR="00110460" w:rsidRPr="00C42BD4">
        <w:rPr>
          <w:rFonts w:cstheme="minorHAnsi"/>
          <w:bCs/>
        </w:rPr>
        <w:t xml:space="preserve"> </w:t>
      </w:r>
      <w:r w:rsidR="00CF6F9C" w:rsidRPr="00C42BD4">
        <w:rPr>
          <w:rFonts w:cstheme="minorHAnsi"/>
          <w:bCs/>
        </w:rPr>
        <w:t>% de la population majeure</w:t>
      </w:r>
      <w:r w:rsidR="002E1108" w:rsidRPr="00C42BD4">
        <w:rPr>
          <w:rFonts w:cstheme="minorHAnsi"/>
          <w:bCs/>
        </w:rPr>
        <w:t>)</w:t>
      </w:r>
      <w:r w:rsidR="0019764F" w:rsidRPr="00C42BD4">
        <w:rPr>
          <w:rFonts w:cstheme="minorHAnsi"/>
          <w:bCs/>
        </w:rPr>
        <w:t xml:space="preserve"> et</w:t>
      </w:r>
      <w:r w:rsidR="000A6E75" w:rsidRPr="00C42BD4">
        <w:rPr>
          <w:rFonts w:cstheme="minorHAnsi"/>
          <w:bCs/>
        </w:rPr>
        <w:t xml:space="preserve"> </w:t>
      </w:r>
      <w:r w:rsidR="00C42BD4" w:rsidRPr="00C42BD4">
        <w:rPr>
          <w:rFonts w:cstheme="minorHAnsi"/>
          <w:bCs/>
        </w:rPr>
        <w:t>4 675 008</w:t>
      </w:r>
      <w:r w:rsidR="00F57F35" w:rsidRPr="00C42BD4">
        <w:rPr>
          <w:lang w:eastAsia="fr-FR"/>
        </w:rPr>
        <w:t xml:space="preserve"> </w:t>
      </w:r>
      <w:r w:rsidR="00DD164F" w:rsidRPr="00C42BD4">
        <w:t>p</w:t>
      </w:r>
      <w:r w:rsidR="00181B28" w:rsidRPr="00C42BD4">
        <w:rPr>
          <w:rFonts w:cstheme="minorHAnsi"/>
          <w:bCs/>
        </w:rPr>
        <w:t xml:space="preserve">ersonnes ont reçu </w:t>
      </w:r>
      <w:r w:rsidR="003B4945" w:rsidRPr="00C42BD4">
        <w:rPr>
          <w:rFonts w:cstheme="minorHAnsi"/>
          <w:bCs/>
        </w:rPr>
        <w:t xml:space="preserve">deux injections (soit </w:t>
      </w:r>
      <w:r w:rsidR="00C42BD4" w:rsidRPr="00C42BD4">
        <w:rPr>
          <w:rFonts w:cstheme="minorHAnsi"/>
          <w:bCs/>
        </w:rPr>
        <w:t>7</w:t>
      </w:r>
      <w:r w:rsidR="00110460" w:rsidRPr="00C42BD4">
        <w:rPr>
          <w:rFonts w:cstheme="minorHAnsi"/>
          <w:bCs/>
        </w:rPr>
        <w:t xml:space="preserve"> </w:t>
      </w:r>
      <w:r w:rsidR="003B4945" w:rsidRPr="00C42BD4">
        <w:rPr>
          <w:rFonts w:cstheme="minorHAnsi"/>
          <w:bCs/>
        </w:rPr>
        <w:t xml:space="preserve">% de la </w:t>
      </w:r>
      <w:r w:rsidR="001B6EF0" w:rsidRPr="00C42BD4">
        <w:rPr>
          <w:rFonts w:cstheme="minorHAnsi"/>
          <w:bCs/>
        </w:rPr>
        <w:t>population totale et</w:t>
      </w:r>
      <w:r w:rsidR="000A6E75" w:rsidRPr="00C42BD4">
        <w:rPr>
          <w:rFonts w:cstheme="minorHAnsi"/>
          <w:bCs/>
        </w:rPr>
        <w:t xml:space="preserve"> </w:t>
      </w:r>
      <w:r w:rsidR="00C42BD4" w:rsidRPr="00C42BD4">
        <w:rPr>
          <w:rFonts w:cstheme="minorHAnsi"/>
          <w:bCs/>
        </w:rPr>
        <w:t>8,9</w:t>
      </w:r>
      <w:r w:rsidR="00DD164F" w:rsidRPr="00C42BD4">
        <w:rPr>
          <w:rFonts w:cstheme="minorHAnsi"/>
          <w:bCs/>
        </w:rPr>
        <w:t xml:space="preserve"> </w:t>
      </w:r>
      <w:r w:rsidR="003B4945" w:rsidRPr="00C42BD4">
        <w:rPr>
          <w:rFonts w:cstheme="minorHAnsi"/>
          <w:bCs/>
        </w:rPr>
        <w:t>% de la population</w:t>
      </w:r>
      <w:r w:rsidR="003B4945" w:rsidRPr="0064148A">
        <w:rPr>
          <w:rFonts w:cstheme="minorHAnsi"/>
          <w:bCs/>
        </w:rPr>
        <w:t xml:space="preserve">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9223E5" w:rsidRPr="00180752" w14:paraId="1B5F5A99" w14:textId="77777777" w:rsidTr="00221ACC">
        <w:tc>
          <w:tcPr>
            <w:tcW w:w="1838" w:type="dxa"/>
          </w:tcPr>
          <w:p w14:paraId="73B8DAE7" w14:textId="77777777" w:rsidR="009223E5" w:rsidRPr="00180752" w:rsidRDefault="009223E5" w:rsidP="009223E5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5D35D1F3" w:rsidR="009223E5" w:rsidRPr="00746B66" w:rsidRDefault="009223E5" w:rsidP="009223E5">
            <w:pPr>
              <w:jc w:val="right"/>
              <w:rPr>
                <w:rFonts w:cstheme="minorHAnsi"/>
                <w:bCs/>
                <w:highlight w:val="yellow"/>
              </w:rPr>
            </w:pPr>
            <w:r w:rsidRPr="001B1324">
              <w:t xml:space="preserve">194 835 </w:t>
            </w:r>
          </w:p>
        </w:tc>
        <w:tc>
          <w:tcPr>
            <w:tcW w:w="2408" w:type="dxa"/>
          </w:tcPr>
          <w:p w14:paraId="050CE7DC" w14:textId="18FDCCA3" w:rsidR="009223E5" w:rsidRPr="00746B66" w:rsidRDefault="009223E5" w:rsidP="009223E5">
            <w:pPr>
              <w:jc w:val="right"/>
              <w:rPr>
                <w:highlight w:val="yellow"/>
              </w:rPr>
            </w:pPr>
            <w:r w:rsidRPr="00BA4667">
              <w:t>4 202 316</w:t>
            </w:r>
          </w:p>
        </w:tc>
        <w:tc>
          <w:tcPr>
            <w:tcW w:w="2408" w:type="dxa"/>
          </w:tcPr>
          <w:p w14:paraId="5B27A7DB" w14:textId="7A7E5F93" w:rsidR="009223E5" w:rsidRPr="00746B66" w:rsidRDefault="009223E5" w:rsidP="009223E5">
            <w:pPr>
              <w:jc w:val="right"/>
              <w:rPr>
                <w:rFonts w:cstheme="minorHAnsi"/>
                <w:highlight w:val="yellow"/>
              </w:rPr>
            </w:pPr>
            <w:r w:rsidRPr="00FC7607">
              <w:t>12 751 098</w:t>
            </w:r>
          </w:p>
        </w:tc>
      </w:tr>
      <w:tr w:rsidR="009223E5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9223E5" w:rsidRPr="00180752" w:rsidRDefault="009223E5" w:rsidP="009223E5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2A7F8551" w:rsidR="009223E5" w:rsidRPr="00746B66" w:rsidRDefault="009223E5" w:rsidP="009223E5">
            <w:pPr>
              <w:jc w:val="right"/>
              <w:rPr>
                <w:rFonts w:cstheme="minorHAnsi"/>
                <w:highlight w:val="yellow"/>
              </w:rPr>
            </w:pPr>
            <w:r w:rsidRPr="001B1324">
              <w:t xml:space="preserve">135 000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DD4DD82" w:rsidR="009223E5" w:rsidRPr="00746B66" w:rsidRDefault="009223E5" w:rsidP="009223E5">
            <w:pPr>
              <w:jc w:val="right"/>
              <w:rPr>
                <w:highlight w:val="yellow"/>
              </w:rPr>
            </w:pPr>
            <w:r w:rsidRPr="00BA4667">
              <w:t>1 820 952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026BC345" w:rsidR="009223E5" w:rsidRPr="00746B66" w:rsidRDefault="009223E5" w:rsidP="009223E5">
            <w:pPr>
              <w:jc w:val="right"/>
              <w:rPr>
                <w:rFonts w:cstheme="minorHAnsi"/>
                <w:highlight w:val="yellow"/>
              </w:rPr>
            </w:pPr>
            <w:r w:rsidRPr="00FC7607">
              <w:t>4 675 008</w:t>
            </w:r>
          </w:p>
        </w:tc>
      </w:tr>
      <w:tr w:rsidR="009223E5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9223E5" w:rsidRPr="00180752" w:rsidRDefault="009223E5" w:rsidP="009223E5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2CAC942" w:rsidR="009223E5" w:rsidRPr="009223E5" w:rsidRDefault="009223E5" w:rsidP="009223E5">
            <w:pPr>
              <w:jc w:val="right"/>
              <w:rPr>
                <w:b/>
                <w:highlight w:val="yellow"/>
              </w:rPr>
            </w:pPr>
            <w:r w:rsidRPr="001B1324">
              <w:t xml:space="preserve">                </w:t>
            </w:r>
            <w:r w:rsidRPr="009223E5">
              <w:rPr>
                <w:b/>
              </w:rPr>
              <w:t xml:space="preserve">329 835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46835D32" w:rsidR="009223E5" w:rsidRPr="009223E5" w:rsidRDefault="009223E5" w:rsidP="009223E5">
            <w:pPr>
              <w:jc w:val="right"/>
              <w:rPr>
                <w:rFonts w:cstheme="minorHAnsi"/>
                <w:b/>
                <w:highlight w:val="yellow"/>
              </w:rPr>
            </w:pPr>
            <w:r w:rsidRPr="009223E5">
              <w:rPr>
                <w:b/>
              </w:rPr>
              <w:t>6 023 268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4F561144" w:rsidR="009223E5" w:rsidRPr="009223E5" w:rsidRDefault="009223E5" w:rsidP="009223E5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r w:rsidRPr="009223E5">
              <w:rPr>
                <w:b/>
              </w:rPr>
              <w:t>17 426 106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2F2099EC" w14:textId="77777777" w:rsidR="00746B66" w:rsidRDefault="005E6E65" w:rsidP="00746B66">
      <w:pPr>
        <w:spacing w:after="0"/>
        <w:jc w:val="both"/>
        <w:rPr>
          <w:rStyle w:val="Lienhypertexte"/>
        </w:rPr>
      </w:pPr>
      <w:hyperlink r:id="rId8" w:history="1">
        <w:r w:rsidR="00746B66" w:rsidRPr="00B35334">
          <w:rPr>
            <w:rStyle w:val="Lienhypertexte"/>
          </w:rPr>
          <w:t>https://solidarites-sante.gouv.fr/grands-dossiers/vaccin-covid-19/publics-prioritaires-vaccin-covid-19</w:t>
        </w:r>
      </w:hyperlink>
    </w:p>
    <w:p w14:paraId="1128C252" w14:textId="0BD409EA" w:rsidR="00847260" w:rsidRDefault="00A93086" w:rsidP="00746B66">
      <w:pPr>
        <w:spacing w:after="0"/>
        <w:jc w:val="both"/>
        <w:rPr>
          <w:rFonts w:cstheme="minorHAnsi"/>
          <w:bCs/>
        </w:rPr>
      </w:pPr>
      <w:r w:rsidRPr="00746B66">
        <w:rPr>
          <w:rFonts w:cstheme="minorHAnsi"/>
          <w:bCs/>
        </w:rPr>
        <w:br/>
      </w:r>
    </w:p>
    <w:p w14:paraId="608D1446" w14:textId="77777777" w:rsidR="00363965" w:rsidRPr="00746B66" w:rsidRDefault="00363965" w:rsidP="00746B66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9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10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6A658039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>diés pour les plus de</w:t>
      </w:r>
      <w:bookmarkStart w:id="0" w:name="_GoBack"/>
      <w:bookmarkEnd w:id="0"/>
      <w:r w:rsidR="0064148A">
        <w:rPr>
          <w:rFonts w:cstheme="minorHAnsi"/>
          <w:bCs/>
        </w:rPr>
        <w:t xml:space="preserve">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</w:t>
      </w:r>
      <w:r w:rsidR="00746B66">
        <w:rPr>
          <w:rFonts w:cstheme="minorHAnsi"/>
          <w:bCs/>
        </w:rPr>
        <w:t>l</w:t>
      </w:r>
      <w:r w:rsidRPr="00DC1E37">
        <w:rPr>
          <w:rFonts w:cstheme="minorHAnsi"/>
          <w:bCs/>
        </w:rPr>
        <w:t xml:space="preserve">e week-end </w:t>
      </w:r>
      <w:r w:rsidR="00746B66">
        <w:rPr>
          <w:rFonts w:cstheme="minorHAnsi"/>
          <w:bCs/>
        </w:rPr>
        <w:t xml:space="preserve">des 17-18 avril </w:t>
      </w:r>
      <w:r w:rsidRPr="00DC1E37">
        <w:rPr>
          <w:rFonts w:cstheme="minorHAnsi"/>
          <w:bCs/>
        </w:rPr>
        <w:t xml:space="preserve">dans plusieurs centres du territoire national. </w:t>
      </w:r>
      <w:r w:rsidR="008B6E6E">
        <w:rPr>
          <w:rFonts w:cstheme="minorHAnsi"/>
          <w:b/>
          <w:bCs/>
        </w:rPr>
        <w:t>P</w:t>
      </w:r>
      <w:r w:rsidRPr="00DC1E37">
        <w:rPr>
          <w:rFonts w:cstheme="minorHAnsi"/>
          <w:b/>
          <w:bCs/>
        </w:rPr>
        <w:t xml:space="preserve">lus de 400 000 professionnels de plus de 55 ans </w:t>
      </w:r>
      <w:r w:rsidR="00746B66">
        <w:rPr>
          <w:rFonts w:cstheme="minorHAnsi"/>
          <w:b/>
          <w:bCs/>
        </w:rPr>
        <w:t>peuvent</w:t>
      </w:r>
      <w:r w:rsidR="0064148A">
        <w:rPr>
          <w:rFonts w:cstheme="minorHAnsi"/>
          <w:b/>
          <w:bCs/>
        </w:rPr>
        <w:t xml:space="preserve"> </w:t>
      </w:r>
      <w:r w:rsidR="008B6E6E">
        <w:rPr>
          <w:rFonts w:cstheme="minorHAnsi"/>
          <w:b/>
          <w:bCs/>
        </w:rPr>
        <w:t xml:space="preserve">aujourd’hui </w:t>
      </w:r>
      <w:r w:rsidRPr="00DC1E37">
        <w:rPr>
          <w:rFonts w:cstheme="minorHAnsi"/>
          <w:b/>
          <w:bCs/>
        </w:rPr>
        <w:t>bénéficier de ce dispositif</w:t>
      </w:r>
      <w:r w:rsidRPr="00DC1E37">
        <w:rPr>
          <w:rFonts w:cstheme="minorHAnsi"/>
          <w:bCs/>
        </w:rPr>
        <w:t>.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t xml:space="preserve"> 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br/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778E" w14:textId="77777777" w:rsidR="005E6E65" w:rsidRDefault="005E6E65" w:rsidP="00EF7EA0">
      <w:pPr>
        <w:spacing w:after="0" w:line="240" w:lineRule="auto"/>
      </w:pPr>
      <w:r>
        <w:separator/>
      </w:r>
    </w:p>
  </w:endnote>
  <w:endnote w:type="continuationSeparator" w:id="0">
    <w:p w14:paraId="42F5B375" w14:textId="77777777" w:rsidR="005E6E65" w:rsidRDefault="005E6E65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67C3" w14:textId="77777777" w:rsidR="005E6E65" w:rsidRDefault="005E6E65" w:rsidP="00EF7EA0">
      <w:pPr>
        <w:spacing w:after="0" w:line="240" w:lineRule="auto"/>
      </w:pPr>
      <w:r>
        <w:separator/>
      </w:r>
    </w:p>
  </w:footnote>
  <w:footnote w:type="continuationSeparator" w:id="0">
    <w:p w14:paraId="1A77EA73" w14:textId="77777777" w:rsidR="005E6E65" w:rsidRDefault="005E6E65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4BD"/>
    <w:rsid w:val="008275DD"/>
    <w:rsid w:val="00831737"/>
    <w:rsid w:val="00831AB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BD4"/>
    <w:rsid w:val="00C42D88"/>
    <w:rsid w:val="00C47B5F"/>
    <w:rsid w:val="00C57DF9"/>
    <w:rsid w:val="00C61721"/>
    <w:rsid w:val="00C61D57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grands-dossiers/vaccin-covid-19/publics-prioritaires-vaccin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D001-13E2-4268-99F7-544D3A9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GRAZIANI, Elodie</cp:lastModifiedBy>
  <cp:revision>10</cp:revision>
  <cp:lastPrinted>2021-04-13T16:31:00Z</cp:lastPrinted>
  <dcterms:created xsi:type="dcterms:W3CDTF">2021-04-19T16:20:00Z</dcterms:created>
  <dcterms:modified xsi:type="dcterms:W3CDTF">2021-04-19T16:59:00Z</dcterms:modified>
</cp:coreProperties>
</file>