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A0F82" w:rsidTr="00AA0F82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A0F82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AA0F8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75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avez des difficultés à visualiser cet email, </w:t>
                                                      </w:r>
                                                      <w:hyperlink r:id="rId4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A0F82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9060"/>
                          <w:gridCol w:w="6"/>
                        </w:tblGrid>
                        <w:tr w:rsidR="00AA0F82">
                          <w:trPr>
                            <w:hidden/>
                          </w:trPr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vanish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168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235"/>
                                      <w:gridCol w:w="4825"/>
                                    </w:tblGrid>
                                    <w:tr w:rsidR="00AA0F82">
                                      <w:trPr>
                                        <w:tblCellSpacing w:w="168" w:type="dxa"/>
                                        <w:jc w:val="center"/>
                                      </w:trPr>
                                      <w:tc>
                                        <w:tcPr>
                                          <w:tcW w:w="24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731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131"/>
                                                </w:tblGrid>
                                                <w:tr w:rsidR="00AA0F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131"/>
                                                      </w:tblGrid>
                                                      <w:tr w:rsidR="00AA0F82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A0F82" w:rsidRDefault="00AA0F82">
                                                            <w:pPr>
                                                              <w:spacing w:line="0" w:lineRule="atLeast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1996440" cy="1432560"/>
                                                                  <wp:effectExtent l="0" t="0" r="3810" b="0"/>
                                                                  <wp:docPr id="7" name="Image 7" descr="https://img.diffusion.social.gouv.fr/5a5873edb85b530da84d23f7/TX-h0urBTeG2zP2xrXvXng/jkEdlr9cRkefx2if4yH-xA-Marianne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https://img.diffusion.social.gouv.fr/5a5873edb85b530da84d23f7/TX-h0urBTeG2zP2xrXvXng/jkEdlr9cRkefx2if4yH-xA-Marianne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1996440" cy="14325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A0F82" w:rsidRDefault="00AA0F8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55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321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721"/>
                                                </w:tblGrid>
                                                <w:tr w:rsidR="00AA0F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721"/>
                                                      </w:tblGrid>
                                                      <w:tr w:rsidR="00AA0F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A0F82" w:rsidRDefault="00AA0F8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377440" cy="1676400"/>
                                                                  <wp:effectExtent l="0" t="0" r="0" b="0"/>
                                                                  <wp:docPr id="6" name="Image 6" descr="https://img.diffusion.social.gouv.fr/5a5873edb85b530da84d23f7/TX-h0urBTeG2zP2xrXvXng/jkEdlr9cRkefx2if4yH-xA-logo%20Vaccin%20II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https://img.diffusion.social.gouv.fr/5a5873edb85b530da84d23f7/TX-h0urBTeG2zP2xrXvXng/jkEdlr9cRkefx2if4yH-xA-logo%20Vaccin%20II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6" cstate="print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377440" cy="16764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A0F82" w:rsidRDefault="00AA0F8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INFORMATION PRESSE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5"/>
                          <w:gridCol w:w="134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5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5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5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righ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Paris, le 07 décembre 2021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Vaccination contre la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Covid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 xml:space="preserve"> en France 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Au 07 décembre 2021, 11 619 831 doses de rappel ont été réalisées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6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6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6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  <w:u w:val="single"/>
                                                        </w:rPr>
                                                        <w:t>1. Données de vaccination du jour et cumulées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Depuis le début de la campagne de </w:t>
                                                      </w:r>
                                                      <w:proofErr w:type="gramStart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rappel,  11</w:t>
                                                      </w:r>
                                                      <w:proofErr w:type="gramEnd"/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619 831 personnes ont reçu une dose de rappel².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outre, depuis le début de la campagne de vaccination en France, 52 147 126 personnes ont reçu au moins une injection (soit 77,3% de la population totale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  <w:vertAlign w:val="superscript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et 51 064 236 personnes ont désormais un schéma vaccinal complet (soit 75,7% de la population totale). 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 06 décembre 2021, 91% de la population majeure avait reçu au moins une injection et 89% de la population majeure avait un schéma vaccinal complet.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12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5"/>
                                                          <w:szCs w:val="15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both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FF0000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²Le nombre d’injections de rappel est désormais disponible au Jour J  de manière quotidienne.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26"/>
                          <w:gridCol w:w="8820"/>
                          <w:gridCol w:w="126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51"/>
                                      <w:gridCol w:w="2069"/>
                                      <w:gridCol w:w="2521"/>
                                      <w:gridCol w:w="1979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31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81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Accentuation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Données Provisoires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9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9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 des dernières 24 heures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01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51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au mois de décembre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9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9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Cumul total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(depuis le 27/12/2020)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2"/>
                                                          <w:szCs w:val="12"/>
                                                        </w:rPr>
                                                        <w:t>ères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 xml:space="preserve"> </w:t>
                                                      </w: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31 739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129 870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52 147 126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8"/>
                                      <w:gridCol w:w="2066"/>
                                      <w:gridCol w:w="2517"/>
                                      <w:gridCol w:w="1977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8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8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Doses de rappel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687 498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3 412 863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11 619 831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8809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7"/>
                                      <w:gridCol w:w="2518"/>
                                      <w:gridCol w:w="1977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Total injections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752 229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8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8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4 068 853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109 995 788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6"/>
                          <w:gridCol w:w="133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Borders>
                                        <w:top w:val="single" w:sz="8" w:space="0" w:color="364249"/>
                                        <w:left w:val="single" w:sz="8" w:space="0" w:color="364249"/>
                                        <w:bottom w:val="single" w:sz="8" w:space="0" w:color="364249"/>
                                        <w:right w:val="single" w:sz="8" w:space="0" w:color="364249"/>
                                      </w:tblBorders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247"/>
                                      <w:gridCol w:w="2066"/>
                                      <w:gridCol w:w="2517"/>
                                      <w:gridCol w:w="1976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12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22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07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Schémas vaccinaux complets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5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046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96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sz="8" w:space="0" w:color="364249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9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34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1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976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75" w:type="dxa"/>
                                                  <w:bottom w:w="75" w:type="dxa"/>
                                                  <w:right w:w="75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1826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51 064 236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2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2. Comment prendre rendez-vous pour se faire vacciner ?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Pour rappel, la prise de rendez-vous est possible :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• Via le site internet </w:t>
                                                      </w:r>
                                                      <w:hyperlink r:id="rId7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www.sante.fr</w:t>
                                                        </w:r>
                                                      </w:hyperlink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Via les dispositifs locaux mis à disposition pour aider à la prise de rendez-vous ;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En cas de difficulté, via le numéro vert national (0 800 009 110) qui permet d’être redirigé vers le standard téléphonique d’un centre ou d’obtenir un accompagnement à la prise de rendez-vous.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Ouverture de la campagne de rappel depuis le 1er septembre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lastRenderedPageBreak/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br/>
                                                      </w: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En cas d'infection survenue après une première injection Janssen :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moins de 15 jours après : les personnes reçoivent une dose additionnelle dès 4 semaines puis une dose de rappel à partir de 5 mois après l'infection.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• plus de 15 jours après : les personnes n'ont pas besoin de recevoir une dose additionnelle et ne reçoivent qu'une dose de rappel à partir de 5 mois après l'infection.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Les personnes ayant eu le Covid-19 avant leur vaccination avec Janssen reçoivent une dose de rappel dès 4 semaines après leur injection.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  <w:t> 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Le rappel doit être fait avec un vaccin à ARN messager (Pfizer ou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) de manière indifférenciée quel que soit le vaccin utilisé pour la primovaccination. Concrètement, Il est ainsi possible de recevoir du </w:t>
                                                      </w:r>
                                                      <w:proofErr w:type="spellStart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Moderna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en rappel si l’on a été vacciné avec du Pfizer et inversement.</w:t>
                                                      </w:r>
                                                    </w:p>
                                                    <w:p w:rsidR="00AA0F82" w:rsidRDefault="00AA0F82">
                                                      <w:r>
                                                        <w:t xml:space="preserve">  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8965"/>
                          <w:gridCol w:w="53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5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5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65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65"/>
                                                </w:tblGrid>
                                                <w:tr w:rsidR="00AA0F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80"/>
                                                      </w:tblGrid>
                                                      <w:tr w:rsidR="00AA0F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A0F82" w:rsidRDefault="00AA0F8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bookmarkStart w:id="0" w:name="_GoBack"/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067183" cy="8252460"/>
                                                                  <wp:effectExtent l="0" t="0" r="635" b="0"/>
                                                                  <wp:docPr id="5" name="Image 5" descr="https://img.diffusion.social.gouv.fr/5a5873edb85b530da84d23f7/TX-h0urBTeG2zP2xrXvXng/jkEdlr9cRkefx2if4yH-xA-Infog%20public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3" descr="https://img.diffusion.social.gouv.fr/5a5873edb85b530da84d23f7/TX-h0urBTeG2zP2xrXvXng/jkEdlr9cRkefx2if4yH-xA-Infog%20public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8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068607" cy="8254779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  <w:bookmarkEnd w:id="0"/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A0F82" w:rsidRDefault="00AA0F8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4"/>
                          <w:gridCol w:w="8965"/>
                          <w:gridCol w:w="53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65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65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65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65"/>
                                                </w:tblGrid>
                                                <w:tr w:rsidR="00AA0F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80"/>
                                                      </w:tblGrid>
                                                      <w:tr w:rsidR="00AA0F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A0F82" w:rsidRDefault="00AA0F8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062504" cy="8244840"/>
                                                                  <wp:effectExtent l="0" t="0" r="5080" b="3810"/>
                                                                  <wp:docPr id="4" name="Image 4" descr="https://img.diffusion.social.gouv.fr/5a5873edb85b530da84d23f7/TX-h0urBTeG2zP2xrXvXng/jkEdlr9cRkefx2if4yH-xA-Infog%20pros%20x%20vaccins%20v10-11.jp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4" descr="https://img.diffusion.social.gouv.fr/5a5873edb85b530da84d23f7/TX-h0urBTeG2zP2xrXvXng/jkEdlr9cRkefx2if4yH-xA-Infog%20pros%20x%20vaccins%20v10-11.jp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9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064398" cy="8247925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A0F82" w:rsidRDefault="00AA0F8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"/>
                          <w:gridCol w:w="8980"/>
                          <w:gridCol w:w="46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0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80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80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380"/>
                                                </w:tblGrid>
                                                <w:tr w:rsidR="00AA0F82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82"/>
                                                      </w:tblGrid>
                                                      <w:tr w:rsidR="00AA0F82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AA0F82" w:rsidRDefault="00AA0F82">
                                                            <w:pPr>
                                                              <w:spacing w:line="0" w:lineRule="atLeast"/>
                                                              <w:jc w:val="center"/>
                                                              <w:rPr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noProof/>
                                                                <w:sz w:val="2"/>
                                                                <w:szCs w:val="2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5132687" cy="8359140"/>
                                                                  <wp:effectExtent l="0" t="0" r="0" b="3810"/>
                                                                  <wp:docPr id="3" name="Image 3" descr="https://img.diffusion.social.gouv.fr/5a5873edb85b530da84d23f7/TX-h0urBTeG2zP2xrXvXng/jkEdlr9cRkefx2if4yH-xA-EXE%20PUBLICS%20DOSE%20RAPPEL%2010-11.png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5" descr="https://img.diffusion.social.gouv.fr/5a5873edb85b530da84d23f7/TX-h0urBTeG2zP2xrXvXng/jkEdlr9cRkefx2if4yH-xA-EXE%20PUBLICS%20DOSE%20RAPPEL%2010-11.png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10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5135646" cy="83639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AA0F82" w:rsidRDefault="00AA0F82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5"/>
                          <w:gridCol w:w="8802"/>
                          <w:gridCol w:w="135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2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2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2"/>
                          <w:gridCol w:w="8808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750" w:type="dxa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8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8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8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39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393939"/>
                                                          <w:sz w:val="26"/>
                                                          <w:szCs w:val="26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Style w:val="lev"/>
                                                          <w:rFonts w:ascii="Arial" w:hAnsi="Arial" w:cs="Arial"/>
                                                          <w:color w:val="393939"/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Contact presse : </w:t>
                                                      </w:r>
                                                      <w:hyperlink r:id="rId11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b/>
                                                            <w:bCs/>
                                                            <w:color w:val="0595D6"/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presse-dgs@sante.gouv.fr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vanish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AA0F82">
                          <w:trPr>
                            <w:trHeight w:val="120"/>
                          </w:trPr>
                          <w:tc>
                            <w:tcPr>
                              <w:tcW w:w="9750" w:type="dxa"/>
                              <w:shd w:val="clear" w:color="auto" w:fill="FFFFFF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spacing w:line="15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sz w:val="15"/>
                                  <w:szCs w:val="15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</w:rPr>
                        </w:pPr>
                      </w:p>
                    </w:tc>
                  </w:tr>
                </w:tbl>
                <w:p w:rsidR="00AA0F82" w:rsidRDefault="00AA0F82"/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AA0F82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"/>
                          <w:gridCol w:w="8807"/>
                          <w:gridCol w:w="132"/>
                        </w:tblGrid>
                        <w:tr w:rsidR="00AA0F82"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A0F82" w:rsidRDefault="00AA0F82"/>
                          </w:tc>
                          <w:tc>
                            <w:tcPr>
                              <w:tcW w:w="9750" w:type="dxa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A0F82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07"/>
                                    </w:tblGrid>
                                    <w:tr w:rsidR="00AA0F82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7"/>
                                          </w:tblGrid>
                                          <w:tr w:rsidR="00AA0F82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vertAnchor="text"/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07"/>
                                                </w:tblGrid>
                                                <w:tr w:rsidR="00AA0F82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AA0F82" w:rsidRDefault="00AA0F82">
                                                      <w:pPr>
                                                        <w:pStyle w:val="NormalWeb"/>
                                                        <w:spacing w:before="0" w:beforeAutospacing="0" w:after="0" w:afterAutospacing="0" w:line="210" w:lineRule="exact"/>
                                                        <w:jc w:val="center"/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hAnsi="Arial" w:cs="Arial"/>
                                                          <w:color w:val="156BA5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t xml:space="preserve">Si vous ne souhaitez plus recevoir nos communications, </w:t>
                                                      </w:r>
                                                      <w:hyperlink r:id="rId12" w:tgtFrame="_blank" w:history="1">
                                                        <w:r>
                                                          <w:rPr>
                                                            <w:rStyle w:val="Lienhypertexte"/>
                                                            <w:rFonts w:ascii="Arial" w:hAnsi="Arial" w:cs="Arial"/>
                                                            <w:color w:val="156BA5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t xml:space="preserve">suivez ce lien 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AA0F82" w:rsidRDefault="00AA0F82">
                                                <w:pPr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AA0F82" w:rsidRDefault="00AA0F82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A0F82" w:rsidRDefault="00AA0F82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A0F82" w:rsidRDefault="00AA0F82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AA0F82" w:rsidRDefault="00AA0F82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A0F82" w:rsidRDefault="00AA0F82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0F82" w:rsidRDefault="00AA0F82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AA0F82" w:rsidRDefault="00AA0F8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AA0F82" w:rsidRDefault="00AA0F82" w:rsidP="00AA0F82"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7620" cy="22860"/>
                <wp:effectExtent l="0" t="0" r="0" b="0"/>
                <wp:docPr id="2" name="Rectangle 2" descr="https://eye.diffusion.social.gouv.fr/v?q=wATNAxjDxBDQjkEd0JbQv1xGR9Cf0Mdo0J_jIf7QxLg2MTIzYWY0NjVlMDYwZjQ0ZTQ1ZDBiY2O4NWE1ODczZWRiODViNTMwZGE4NGQyM2Y3wLZUWC1oMHVyQlRlRzJ6UDJ4clh2WG5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22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58610F" id="Rectangle 2" o:spid="_x0000_s1026" alt="https://eye.diffusion.social.gouv.fr/v?q=wATNAxjDxBDQjkEd0JbQv1xGR9Cf0Mdo0J_jIf7QxLg2MTIzYWY0NjVlMDYwZjQ0ZTQ1ZDBiY2O4NWE1ODczZWRiODViNTMwZGE4NGQyM2Y3wLZUWC1oMHVyQlRlRzJ6UDJ4clh2WG5n" style="width:.6pt;height: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7620" cy="38100"/>
            <wp:effectExtent l="0" t="0" r="0" b="0"/>
            <wp:docPr id="1" name="Image 1" descr="https://eye.diffusion.social.gouv.fr/tt?q=wATNAxjDxBDQjkEd0JbQv1xGR9Cf0Mdo0J_jIf7QxLg2MTIzYWY0NjVlMDYwZjQ0ZTQ1ZDBiY2O4NWE1ODczZWRiODViNTMwZGE4NGQyM2Y3wLZUWC1oMHVyQlRlRzJ6UDJ4clh2W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ye.diffusion.social.gouv.fr/tt?q=wATNAxjDxBDQjkEd0JbQv1xGR9Cf0Mdo0J_jIf7QxLg2MTIzYWY0NjVlMDYwZjQ0ZTQ1ZDBiY2O4NWE1ODczZWRiODViNTMwZGE4NGQyM2Y3wLZUWC1oMHVyQlRlRzJ6UDJ4clh2WG5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F82" w:rsidRDefault="00AA0F82" w:rsidP="00AA0F82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32" style="width:453.6pt;height:1.8pt" o:hralign="center" o:hrstd="t" o:hr="t" fillcolor="#a0a0a0" stroked="f"/>
        </w:pict>
      </w:r>
    </w:p>
    <w:p w:rsidR="00AA0F82" w:rsidRDefault="00AA0F82" w:rsidP="00AA0F82">
      <w:pPr>
        <w:pStyle w:val="NormalWeb"/>
        <w:rPr>
          <w:rFonts w:ascii="Arial" w:hAnsi="Arial" w:cs="Arial"/>
          <w:color w:val="309147"/>
          <w:sz w:val="20"/>
          <w:szCs w:val="20"/>
        </w:rPr>
      </w:pPr>
      <w:r>
        <w:rPr>
          <w:rFonts w:ascii="Arial" w:hAnsi="Arial" w:cs="Arial"/>
          <w:color w:val="309147"/>
          <w:sz w:val="20"/>
          <w:szCs w:val="20"/>
        </w:rPr>
        <w:t>Nos ministères agissent pour un développement durable.</w:t>
      </w:r>
    </w:p>
    <w:p w:rsidR="00AA0F82" w:rsidRDefault="00AA0F82" w:rsidP="00AA0F82">
      <w:pPr>
        <w:pStyle w:val="NormalWeb"/>
        <w:rPr>
          <w:rFonts w:ascii="Arial" w:hAnsi="Arial" w:cs="Arial"/>
          <w:color w:val="309147"/>
          <w:sz w:val="20"/>
          <w:szCs w:val="20"/>
        </w:rPr>
      </w:pPr>
      <w:r>
        <w:rPr>
          <w:rFonts w:ascii="Arial" w:hAnsi="Arial" w:cs="Arial"/>
          <w:color w:val="309147"/>
          <w:sz w:val="20"/>
          <w:szCs w:val="20"/>
        </w:rPr>
        <w:t>Préservons l'environnement : n'imprimons que si nécessaire !</w:t>
      </w:r>
    </w:p>
    <w:p w:rsidR="001543F3" w:rsidRDefault="00AA0F82">
      <w:proofErr w:type="gramStart"/>
      <w:r>
        <w:t>z</w:t>
      </w:r>
      <w:proofErr w:type="gramEnd"/>
    </w:p>
    <w:sectPr w:rsidR="0015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82"/>
    <w:rsid w:val="001543F3"/>
    <w:rsid w:val="00AA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DFF3"/>
  <w15:chartTrackingRefBased/>
  <w15:docId w15:val="{F7CC0E3F-4033-4C3E-8009-43BA60BA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8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A0F8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A0F82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AA0F82"/>
    <w:rPr>
      <w:b/>
      <w:bCs/>
    </w:rPr>
  </w:style>
  <w:style w:type="character" w:styleId="Accentuation">
    <w:name w:val="Emphasis"/>
    <w:basedOn w:val="Policepardfaut"/>
    <w:uiPriority w:val="20"/>
    <w:qFormat/>
    <w:rsid w:val="00AA0F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1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gif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hyperlink" Target="https://eye.diffusion.social.gouv.fr/v3/r/USBSHOW/84/5a5873edb85b530da84d23f7/TX-h0urBTeG2zP2xrXvXng/jkEdlr9cRkefx2if4yH-xA/6123af465e060f44e45d0bcc?email=presse-dgs@sante.gouv.fr&amp;adm=sarbacane@sg.social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xjDxBDQjkEd0JbQv1xGR9Cf0Mdo0J_jIf7QxMQQ0Jdg0NTQsdCTWkjQy9CmBOTQitCsQ-oxv21haWx0bzpwcmVzc2UtZGdzQHNhbnRlLmdvdXYuZnK4NWE1ODczZWRiODViNTMwZGE4NGQyM2Y3uDYxMjNhZjQ2NWUwNjBmNDRlNDVkMGJjY8C2VFgtaDB1ckJUZUcyelAyeHJYdlhuZ7xleWUuZGlmZnVzaW9uLnNvY2lhbC5nb3V2LmZyxBR-FRc20MTQ2jfQoEPQt9CV0MnQo9C_0MwxQ9C30NXQ3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xi4NWE1ODczZWRiODViNTMwZGE4NGQyM2Y3xBDQjkEd0JbQv1xGR9Cf0Mdo0J_jIf7QxLg2MTIzYWY0NjVlMDYwZjQ0ZTQ1ZDBiY2O4cHJlc3NlLWRnc0BzYW50ZS5nb3V2LmZyoJmrQ0lWSUxJVFlfSUSgqkNPTlRBQ1RfSUS2bUdKX0hzbTdTaDJFTFNhcmRHOVBPUbNFTUFJTF9DT1JSRUNUSU9OX0lEoKxGSVJTVE5BTUVfSUSgq0xBU1ROQU1FX0lEoLFPUklHSU5fQ0FQVElPTl9JRKpQcmVzc2UgREdTrk9SSUdJTl9LSU5EX0lEpExJU1SzUEhPTkVfQ09SUkVDVElPTl9JRKCoU1RBVEVfSUSmTk9STUFMtlRYLWgwdXJCVGVHMnpQMnhyWHZYbmeg" TargetMode="Externa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931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BLACHON, Jessica (DICOM)</dc:creator>
  <cp:keywords/>
  <dc:description/>
  <cp:lastModifiedBy>BLACHON, Jessica (DICOM)</cp:lastModifiedBy>
  <cp:revision>1</cp:revision>
  <dcterms:created xsi:type="dcterms:W3CDTF">2021-12-07T18:07:00Z</dcterms:created>
  <dcterms:modified xsi:type="dcterms:W3CDTF">2021-12-07T18:09:00Z</dcterms:modified>
</cp:coreProperties>
</file>