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4A" w:rsidRPr="008F5C90" w:rsidRDefault="00A260E0" w:rsidP="0071424A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Actions réalisées pour renforcer les compétences managériales</w:t>
      </w:r>
      <w:r w:rsidR="00FF5F38">
        <w:rPr>
          <w:b/>
        </w:rPr>
        <w:t>, développer des communautés</w:t>
      </w:r>
      <w:r w:rsidR="0059626C">
        <w:rPr>
          <w:b/>
        </w:rPr>
        <w:t xml:space="preserve"> apprenantes</w:t>
      </w:r>
      <w:r w:rsidR="00FF5F38">
        <w:rPr>
          <w:b/>
        </w:rPr>
        <w:t xml:space="preserve"> qui favorisent les échanges de pratiques entre managers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:</w:t>
      </w:r>
      <w:r w:rsidR="008C1A87">
        <w:rPr>
          <w:szCs w:val="24"/>
        </w:rPr>
        <w:t xml:space="preserve"> 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="006F2B6C">
        <w:rPr>
          <w:szCs w:val="24"/>
        </w:rPr>
        <w:t xml:space="preserve"> </w:t>
      </w:r>
      <w:r w:rsidR="00E06599">
        <w:rPr>
          <w:szCs w:val="24"/>
        </w:rPr>
        <w:t>Plan d’action QVT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 w:rsidR="006F2B6C">
        <w:rPr>
          <w:szCs w:val="24"/>
        </w:rPr>
        <w:t xml:space="preserve"> National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 w:rsidR="006F2B6C">
        <w:rPr>
          <w:szCs w:val="24"/>
        </w:rPr>
        <w:t xml:space="preserve"> ESMS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Etablissement ou structure</w:t>
      </w:r>
      <w:r w:rsidR="00FF5F38"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 w:rsidR="00B4175B">
        <w:rPr>
          <w:szCs w:val="24"/>
        </w:rPr>
        <w:t xml:space="preserve"> Croix Rouge française </w:t>
      </w:r>
    </w:p>
    <w:p w:rsidR="0071424A" w:rsidRPr="008F5C90" w:rsidRDefault="0071424A" w:rsidP="0071424A">
      <w:pPr>
        <w:jc w:val="both"/>
        <w:rPr>
          <w:szCs w:val="24"/>
        </w:rPr>
      </w:pPr>
    </w:p>
    <w:p w:rsidR="0071424A" w:rsidRDefault="0071424A" w:rsidP="006F2B6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  <w:r w:rsidR="006F2B6C">
        <w:rPr>
          <w:i/>
          <w:szCs w:val="24"/>
        </w:rPr>
        <w:t xml:space="preserve">  </w:t>
      </w:r>
    </w:p>
    <w:p w:rsidR="008C1A87" w:rsidRDefault="00E06599" w:rsidP="006F2B6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E06599">
        <w:rPr>
          <w:szCs w:val="24"/>
        </w:rPr>
        <w:t xml:space="preserve">Mise en place d’un place d’action QVT dont </w:t>
      </w:r>
      <w:r w:rsidR="005E12E2">
        <w:rPr>
          <w:szCs w:val="24"/>
        </w:rPr>
        <w:t>l’objectif est de définir la QVT</w:t>
      </w:r>
      <w:r w:rsidRPr="00E06599">
        <w:rPr>
          <w:szCs w:val="24"/>
        </w:rPr>
        <w:t xml:space="preserve"> comme un enjeu de pilotage managérial</w:t>
      </w:r>
      <w:r w:rsidR="005E12E2">
        <w:rPr>
          <w:szCs w:val="24"/>
        </w:rPr>
        <w:t xml:space="preserve"> au sein des établissements sur les thématiques suivantes :</w:t>
      </w:r>
    </w:p>
    <w:p w:rsidR="005E12E2" w:rsidRDefault="005E12E2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Engager un management participatif</w:t>
      </w:r>
      <w:r w:rsidR="003B4226">
        <w:rPr>
          <w:szCs w:val="24"/>
        </w:rPr>
        <w:t xml:space="preserve"> (organisation des temps collectifs / réunions à intervalle régulier, partage des objectifs, associer la réflexion le personnel sur les évolutions des conditions de travail, principe d’expérimentation en amont d’un projet </w:t>
      </w:r>
      <w:r w:rsidR="007A75F9">
        <w:rPr>
          <w:szCs w:val="24"/>
        </w:rPr>
        <w:t>d’organisation,</w:t>
      </w:r>
      <w:r w:rsidR="003B4226">
        <w:rPr>
          <w:szCs w:val="24"/>
        </w:rPr>
        <w:t>)</w:t>
      </w:r>
    </w:p>
    <w:p w:rsidR="005E12E2" w:rsidRDefault="005E12E2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 xml:space="preserve">Agir sur le contenu du travail (cohérence des fiches de postes, des responsabilités, </w:t>
      </w:r>
      <w:r w:rsidR="003B4226">
        <w:rPr>
          <w:szCs w:val="24"/>
        </w:rPr>
        <w:t xml:space="preserve">régulation de la </w:t>
      </w:r>
      <w:r>
        <w:rPr>
          <w:szCs w:val="24"/>
        </w:rPr>
        <w:t>ch</w:t>
      </w:r>
      <w:r w:rsidR="003B4226">
        <w:rPr>
          <w:szCs w:val="24"/>
        </w:rPr>
        <w:t xml:space="preserve">arge de travail, process de traitement </w:t>
      </w:r>
      <w:r w:rsidR="007A75F9">
        <w:rPr>
          <w:szCs w:val="24"/>
        </w:rPr>
        <w:t>d’urgence...</w:t>
      </w:r>
      <w:r w:rsidR="003B4226">
        <w:rPr>
          <w:szCs w:val="24"/>
        </w:rPr>
        <w:t>)</w:t>
      </w:r>
    </w:p>
    <w:p w:rsidR="003B4226" w:rsidRDefault="003B4226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Accompagner le parcours professionnel (plan de formation, entretiens de parcours, anticiper les inaptitudes et évolutions professionnelles)</w:t>
      </w:r>
    </w:p>
    <w:p w:rsidR="003B4226" w:rsidRDefault="003B4226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Le DUERP comme un outil de pilotage dans la maitrise des risques professionnels</w:t>
      </w:r>
      <w:r w:rsidR="00E12112">
        <w:rPr>
          <w:szCs w:val="24"/>
        </w:rPr>
        <w:t xml:space="preserve"> en particulier la prévention des TMS</w:t>
      </w:r>
    </w:p>
    <w:p w:rsidR="007A75F9" w:rsidRDefault="007A75F9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Mettre la QVT dans le dialogue social avec des points et bilans à intervalles réguliers et mieux articuler les diff</w:t>
      </w:r>
      <w:r w:rsidR="00060BC0">
        <w:rPr>
          <w:szCs w:val="24"/>
        </w:rPr>
        <w:t>érentes instances (CSE, CSSCT, etc.</w:t>
      </w:r>
      <w:r>
        <w:rPr>
          <w:szCs w:val="24"/>
        </w:rPr>
        <w:t>)</w:t>
      </w:r>
    </w:p>
    <w:p w:rsidR="00E12112" w:rsidRDefault="00E12112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Suivre l’évolution de l’absentéisme, identifier les causes et structurer des plans d’actions</w:t>
      </w:r>
    </w:p>
    <w:p w:rsidR="005B4945" w:rsidRDefault="005B4945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 xml:space="preserve">Concilier la vie personnelle et professionnelle (organisation du temps de travail, le télétravail la </w:t>
      </w:r>
      <w:r w:rsidR="00B02748">
        <w:rPr>
          <w:szCs w:val="24"/>
        </w:rPr>
        <w:t>déconnexion</w:t>
      </w:r>
      <w:r>
        <w:rPr>
          <w:szCs w:val="24"/>
        </w:rPr>
        <w:t>)</w:t>
      </w:r>
    </w:p>
    <w:p w:rsidR="005B4945" w:rsidRDefault="005B4945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Mise en place de dispositifs d’analyse d’amélioration en continue (Baromètre social, diagnostic QVT, groupes d’expression, traitem</w:t>
      </w:r>
      <w:r w:rsidR="00060BC0">
        <w:rPr>
          <w:szCs w:val="24"/>
        </w:rPr>
        <w:t>ent du harcèlement et des RPS, etc.</w:t>
      </w:r>
      <w:r>
        <w:rPr>
          <w:szCs w:val="24"/>
        </w:rPr>
        <w:t>)</w:t>
      </w:r>
    </w:p>
    <w:p w:rsidR="005B4945" w:rsidRPr="005E12E2" w:rsidRDefault="005B4945" w:rsidP="005E12E2">
      <w:pPr>
        <w:pStyle w:val="Paragraphedeliste"/>
        <w:numPr>
          <w:ilvl w:val="0"/>
          <w:numId w:val="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 xml:space="preserve">Mise en place de dispositifs d’accompagnement social en lien avec les managers (appui du réseau des assistantes sociales dans les régions, </w:t>
      </w:r>
      <w:r w:rsidR="00B02748">
        <w:rPr>
          <w:szCs w:val="24"/>
        </w:rPr>
        <w:t xml:space="preserve">mise en œuvre de </w:t>
      </w:r>
      <w:r>
        <w:rPr>
          <w:szCs w:val="24"/>
        </w:rPr>
        <w:t>dispositifs</w:t>
      </w:r>
      <w:r w:rsidR="00B02748">
        <w:rPr>
          <w:szCs w:val="24"/>
        </w:rPr>
        <w:t xml:space="preserve"> </w:t>
      </w:r>
      <w:r w:rsidR="00060BC0">
        <w:rPr>
          <w:szCs w:val="24"/>
        </w:rPr>
        <w:t>de don de jour, salarié aidant, etc.</w:t>
      </w:r>
      <w:r w:rsidR="00B02748">
        <w:rPr>
          <w:szCs w:val="24"/>
        </w:rPr>
        <w:t>)</w:t>
      </w:r>
      <w:r>
        <w:rPr>
          <w:szCs w:val="24"/>
        </w:rPr>
        <w:t xml:space="preserve"> 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:rsidR="00E06599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  <w:r w:rsidR="00B4175B">
        <w:rPr>
          <w:b/>
          <w:szCs w:val="24"/>
        </w:rPr>
        <w:t xml:space="preserve"> </w:t>
      </w:r>
      <w:r w:rsidR="00E12112" w:rsidRPr="00E12112">
        <w:rPr>
          <w:szCs w:val="24"/>
        </w:rPr>
        <w:t>Formation, sensibilisation, accompagnement interne avec des compétences spécifiques (RH, Psychologue,..)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Outils :</w:t>
      </w:r>
      <w:r w:rsidR="00A757BB">
        <w:rPr>
          <w:b/>
          <w:szCs w:val="24"/>
        </w:rPr>
        <w:t xml:space="preserve"> </w:t>
      </w:r>
      <w:r w:rsidR="00E12112">
        <w:rPr>
          <w:b/>
          <w:szCs w:val="24"/>
        </w:rPr>
        <w:t>Outils de partage, logiciels spécifiques</w:t>
      </w:r>
    </w:p>
    <w:p w:rsidR="00E06599" w:rsidRPr="00E12112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Evaluation / indicateurs :</w:t>
      </w:r>
      <w:r w:rsidR="00A757BB">
        <w:rPr>
          <w:b/>
          <w:szCs w:val="24"/>
        </w:rPr>
        <w:t xml:space="preserve"> </w:t>
      </w:r>
      <w:r w:rsidR="00E12112" w:rsidRPr="00E12112">
        <w:rPr>
          <w:szCs w:val="24"/>
        </w:rPr>
        <w:t>Mise à disposition de tous les indicateurs nécessaires au pilotage de la QVT</w:t>
      </w:r>
    </w:p>
    <w:p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Apports / acteurs :</w:t>
      </w:r>
      <w:r w:rsidR="00A757BB">
        <w:rPr>
          <w:b/>
          <w:szCs w:val="24"/>
        </w:rPr>
        <w:t xml:space="preserve"> </w:t>
      </w:r>
      <w:r w:rsidRPr="008F5C90">
        <w:rPr>
          <w:b/>
          <w:szCs w:val="24"/>
        </w:rPr>
        <w:t>Quelle mise à disposition ou diffusion ?</w:t>
      </w:r>
    </w:p>
    <w:p w:rsidR="0071424A" w:rsidRPr="008F5C90" w:rsidRDefault="0071424A" w:rsidP="0071424A">
      <w:pPr>
        <w:rPr>
          <w:szCs w:val="24"/>
        </w:rPr>
      </w:pP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lastRenderedPageBreak/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:rsidR="0071424A" w:rsidRPr="008F5C90" w:rsidRDefault="0071424A" w:rsidP="0071424A">
      <w:pPr>
        <w:rPr>
          <w:szCs w:val="24"/>
        </w:rPr>
      </w:pPr>
    </w:p>
    <w:p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:rsidR="000F3208" w:rsidRDefault="00E12112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Pour les man</w:t>
      </w:r>
      <w:r w:rsidR="0023109F">
        <w:rPr>
          <w:i/>
          <w:szCs w:val="24"/>
        </w:rPr>
        <w:t>agers, il y a le sentiment que c</w:t>
      </w:r>
      <w:r>
        <w:rPr>
          <w:i/>
          <w:szCs w:val="24"/>
        </w:rPr>
        <w:t xml:space="preserve">e sont des choses </w:t>
      </w:r>
      <w:r w:rsidR="000F3208">
        <w:rPr>
          <w:i/>
          <w:szCs w:val="24"/>
        </w:rPr>
        <w:t>qui se rajoutent dans le management au quotidien</w:t>
      </w:r>
    </w:p>
    <w:p w:rsidR="00E12112" w:rsidRDefault="00E12112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Beaucoup de sujets avec une</w:t>
      </w:r>
      <w:r w:rsidR="000F3208">
        <w:rPr>
          <w:i/>
          <w:szCs w:val="24"/>
        </w:rPr>
        <w:t xml:space="preserve"> possible appropriation différenciée des managers d’où la nécessité de proposer un accompagnement et support sur les différents points</w:t>
      </w:r>
    </w:p>
    <w:p w:rsidR="00E12112" w:rsidRDefault="00E12112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</w:p>
    <w:p w:rsidR="0071424A" w:rsidRPr="008F5C90" w:rsidRDefault="0071424A" w:rsidP="0071424A">
      <w:pPr>
        <w:rPr>
          <w:szCs w:val="24"/>
        </w:rPr>
      </w:pPr>
    </w:p>
    <w:p w:rsidR="00FD11F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5° Conclusion </w:t>
      </w:r>
    </w:p>
    <w:p w:rsidR="000F3208" w:rsidRPr="00D04200" w:rsidRDefault="000F3208" w:rsidP="000F3208">
      <w:pPr>
        <w:jc w:val="both"/>
        <w:rPr>
          <w:color w:val="000000" w:themeColor="text1"/>
        </w:rPr>
      </w:pPr>
      <w:r>
        <w:t xml:space="preserve">Les enjeux de performance économique et sociale exigent une réflexion approfondie sur les conditions de travail et la qualité de vie au travail. De ce fait, </w:t>
      </w:r>
      <w:r w:rsidRPr="00BF0258">
        <w:rPr>
          <w:b/>
        </w:rPr>
        <w:t xml:space="preserve">la QVT </w:t>
      </w:r>
      <w:r>
        <w:rPr>
          <w:b/>
        </w:rPr>
        <w:t xml:space="preserve">doit répondre à </w:t>
      </w:r>
      <w:r w:rsidRPr="00BF0258">
        <w:rPr>
          <w:b/>
        </w:rPr>
        <w:t xml:space="preserve">des </w:t>
      </w:r>
      <w:r w:rsidRPr="00BF0258">
        <w:rPr>
          <w:b/>
          <w:color w:val="000000" w:themeColor="text1"/>
        </w:rPr>
        <w:t>problématiques de terrain</w:t>
      </w:r>
      <w:r w:rsidRPr="00D04200">
        <w:rPr>
          <w:color w:val="000000" w:themeColor="text1"/>
        </w:rPr>
        <w:t>, en accompagnant le management et les salariés dans le bon fonctionnement des établissements et pour la qualité de service auprès des bénéficiaires</w:t>
      </w:r>
      <w:r>
        <w:rPr>
          <w:color w:val="000000" w:themeColor="text1"/>
        </w:rPr>
        <w:t>/usagers</w:t>
      </w:r>
      <w:r w:rsidRPr="00D04200">
        <w:rPr>
          <w:color w:val="000000" w:themeColor="text1"/>
        </w:rPr>
        <w:t xml:space="preserve">. Dans des contextes contraints, il s’agit </w:t>
      </w:r>
      <w:r>
        <w:rPr>
          <w:color w:val="000000" w:themeColor="text1"/>
        </w:rPr>
        <w:t>t</w:t>
      </w:r>
      <w:r w:rsidRPr="00D04200">
        <w:rPr>
          <w:color w:val="000000" w:themeColor="text1"/>
        </w:rPr>
        <w:t xml:space="preserve">out particulièrement de travailler sur les mesures concrètes qui, </w:t>
      </w:r>
      <w:r w:rsidRPr="0023109F">
        <w:rPr>
          <w:i/>
          <w:color w:val="000000" w:themeColor="text1"/>
        </w:rPr>
        <w:t>in fine</w:t>
      </w:r>
      <w:r w:rsidRPr="00D04200">
        <w:rPr>
          <w:color w:val="000000" w:themeColor="text1"/>
        </w:rPr>
        <w:t xml:space="preserve">, auront un effet tangible sur le personnel, son engagement et sa fidélisation. </w:t>
      </w:r>
    </w:p>
    <w:p w:rsidR="00FF5F38" w:rsidRDefault="00FF5F38"/>
    <w:sectPr w:rsidR="00FF5F3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CB" w:rsidRDefault="008D17CB" w:rsidP="0071424A">
      <w:pPr>
        <w:spacing w:after="0" w:line="240" w:lineRule="auto"/>
      </w:pPr>
      <w:r>
        <w:separator/>
      </w:r>
    </w:p>
  </w:endnote>
  <w:endnote w:type="continuationSeparator" w:id="0">
    <w:p w:rsidR="008D17CB" w:rsidRDefault="008D17CB" w:rsidP="007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CB" w:rsidRDefault="008D17CB" w:rsidP="0071424A">
      <w:pPr>
        <w:spacing w:after="0" w:line="240" w:lineRule="auto"/>
      </w:pPr>
      <w:r>
        <w:separator/>
      </w:r>
    </w:p>
  </w:footnote>
  <w:footnote w:type="continuationSeparator" w:id="0">
    <w:p w:rsidR="008D17CB" w:rsidRDefault="008D17CB" w:rsidP="0071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0" w:rsidRDefault="00796B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0" o:spid="_x0000_s2052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28" w:rsidRDefault="00796B75" w:rsidP="00B82607">
    <w:pPr>
      <w:pStyle w:val="En-tte"/>
      <w:tabs>
        <w:tab w:val="clear" w:pos="4536"/>
      </w:tabs>
      <w:ind w:firstLine="141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1" o:spid="_x0000_s2053" type="#_x0000_t136" style="position:absolute;left:0;text-align:left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  <w:r w:rsidR="00A260E0">
      <w:t xml:space="preserve">Mission attractivité des métiers de l’autonomie – </w:t>
    </w:r>
    <w:r w:rsidR="001A7B36">
      <w:t xml:space="preserve">Croix rouge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0" w:rsidRDefault="00796B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09" o:spid="_x0000_s2051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0934"/>
    <w:multiLevelType w:val="hybridMultilevel"/>
    <w:tmpl w:val="B762BA78"/>
    <w:lvl w:ilvl="0" w:tplc="17B29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A"/>
    <w:rsid w:val="000311BF"/>
    <w:rsid w:val="00060BC0"/>
    <w:rsid w:val="000F3208"/>
    <w:rsid w:val="001A7B36"/>
    <w:rsid w:val="0023109F"/>
    <w:rsid w:val="002A715A"/>
    <w:rsid w:val="003B4226"/>
    <w:rsid w:val="003C3BA8"/>
    <w:rsid w:val="0059626C"/>
    <w:rsid w:val="005B4945"/>
    <w:rsid w:val="005E12E2"/>
    <w:rsid w:val="006F2B6C"/>
    <w:rsid w:val="0071424A"/>
    <w:rsid w:val="00796B75"/>
    <w:rsid w:val="007A75F9"/>
    <w:rsid w:val="008C1A87"/>
    <w:rsid w:val="008D17CB"/>
    <w:rsid w:val="00A260E0"/>
    <w:rsid w:val="00A457FC"/>
    <w:rsid w:val="00A757BB"/>
    <w:rsid w:val="00B02748"/>
    <w:rsid w:val="00B4175B"/>
    <w:rsid w:val="00B82607"/>
    <w:rsid w:val="00B92874"/>
    <w:rsid w:val="00E06599"/>
    <w:rsid w:val="00E12112"/>
    <w:rsid w:val="00E13412"/>
    <w:rsid w:val="00FB74ED"/>
    <w:rsid w:val="00FD11F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E5652D0-2511-4A08-B9C6-3C34166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4A"/>
  </w:style>
  <w:style w:type="paragraph" w:styleId="Pieddepage">
    <w:name w:val="footer"/>
    <w:basedOn w:val="Normal"/>
    <w:link w:val="Pieddepag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4A"/>
  </w:style>
  <w:style w:type="paragraph" w:customStyle="1" w:styleId="cdt4ke">
    <w:name w:val="cdt4ke"/>
    <w:basedOn w:val="Normal"/>
    <w:rsid w:val="00B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175B"/>
    <w:rPr>
      <w:b/>
      <w:bCs/>
    </w:rPr>
  </w:style>
  <w:style w:type="paragraph" w:styleId="Paragraphedeliste">
    <w:name w:val="List Paragraph"/>
    <w:basedOn w:val="Normal"/>
    <w:uiPriority w:val="34"/>
    <w:qFormat/>
    <w:rsid w:val="005E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TIRIAU, Hélène (DGOS/SOUS-DIR DES RESS HUMAINES SYSTEME SANTE/RH3)</dc:creator>
  <cp:keywords/>
  <dc:description/>
  <cp:lastModifiedBy>FOUQUET, Nathalie (DGOS/SOUS-DIR DES RESS HUMAINES SYSTEME SANTE/RH3)</cp:lastModifiedBy>
  <cp:revision>2</cp:revision>
  <dcterms:created xsi:type="dcterms:W3CDTF">2021-09-02T09:30:00Z</dcterms:created>
  <dcterms:modified xsi:type="dcterms:W3CDTF">2021-09-02T09:30:00Z</dcterms:modified>
</cp:coreProperties>
</file>