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4A" w:rsidRPr="008F5C90" w:rsidRDefault="00A260E0" w:rsidP="0071424A">
      <w:pPr>
        <w:pBdr>
          <w:bottom w:val="single" w:sz="4" w:space="1" w:color="auto"/>
        </w:pBdr>
        <w:jc w:val="center"/>
        <w:rPr>
          <w:b/>
        </w:rPr>
      </w:pPr>
      <w:r>
        <w:rPr>
          <w:b/>
        </w:rPr>
        <w:t>Actions réalisées pour renforcer les compétences managériales</w:t>
      </w:r>
      <w:r w:rsidR="00FF5F38">
        <w:rPr>
          <w:b/>
        </w:rPr>
        <w:t>, développer des communautés</w:t>
      </w:r>
      <w:r w:rsidR="0059626C">
        <w:rPr>
          <w:b/>
        </w:rPr>
        <w:t xml:space="preserve"> apprenantes</w:t>
      </w:r>
      <w:r w:rsidR="00FF5F38">
        <w:rPr>
          <w:b/>
        </w:rPr>
        <w:t xml:space="preserve"> qui favorisent les échanges de pratiques entre managers</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Thème</w:t>
      </w:r>
      <w:r w:rsidRPr="008F5C90">
        <w:rPr>
          <w:szCs w:val="24"/>
        </w:rPr>
        <w:t> :</w:t>
      </w:r>
      <w:r w:rsidR="008C1A87">
        <w:rPr>
          <w:szCs w:val="24"/>
        </w:rPr>
        <w:t xml:space="preserve"> </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Titre</w:t>
      </w:r>
      <w:r w:rsidRPr="008F5C90">
        <w:rPr>
          <w:szCs w:val="24"/>
        </w:rPr>
        <w:t> :</w:t>
      </w:r>
      <w:r w:rsidR="006F2B6C">
        <w:rPr>
          <w:szCs w:val="24"/>
        </w:rPr>
        <w:t xml:space="preserve"> Référentiel managérial</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Territoire</w:t>
      </w:r>
      <w:r w:rsidRPr="008F5C90">
        <w:rPr>
          <w:szCs w:val="24"/>
        </w:rPr>
        <w:t> :</w:t>
      </w:r>
      <w:r w:rsidR="006F2B6C">
        <w:rPr>
          <w:szCs w:val="24"/>
        </w:rPr>
        <w:t xml:space="preserve"> National</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Secteur (Sanitaire/médico-social/domicile)</w:t>
      </w:r>
      <w:r w:rsidRPr="008F5C90">
        <w:rPr>
          <w:szCs w:val="24"/>
        </w:rPr>
        <w:t> :</w:t>
      </w:r>
      <w:r w:rsidR="006F2B6C">
        <w:rPr>
          <w:szCs w:val="24"/>
        </w:rPr>
        <w:t xml:space="preserve"> ESMS</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Etablissement ou structure</w:t>
      </w:r>
      <w:r w:rsidR="00FF5F38">
        <w:rPr>
          <w:b/>
          <w:szCs w:val="24"/>
        </w:rPr>
        <w:t xml:space="preserve"> ou fédération</w:t>
      </w:r>
      <w:r w:rsidRPr="008F5C90">
        <w:rPr>
          <w:szCs w:val="24"/>
        </w:rPr>
        <w:t> :</w:t>
      </w:r>
      <w:r w:rsidR="00B4175B">
        <w:rPr>
          <w:szCs w:val="24"/>
        </w:rPr>
        <w:t xml:space="preserve"> Croix Rouge française </w:t>
      </w:r>
    </w:p>
    <w:p w:rsidR="008C1A87" w:rsidRPr="00F77007" w:rsidRDefault="0071424A" w:rsidP="006F2B6C">
      <w:pPr>
        <w:pBdr>
          <w:top w:val="single" w:sz="4" w:space="5" w:color="auto"/>
          <w:left w:val="single" w:sz="4" w:space="4" w:color="auto"/>
          <w:bottom w:val="single" w:sz="4" w:space="1" w:color="auto"/>
          <w:right w:val="single" w:sz="4" w:space="4" w:color="auto"/>
        </w:pBdr>
        <w:jc w:val="both"/>
        <w:rPr>
          <w:i/>
          <w:szCs w:val="24"/>
        </w:rPr>
      </w:pPr>
      <w:r w:rsidRPr="008F5C90">
        <w:rPr>
          <w:b/>
          <w:bCs/>
          <w:szCs w:val="24"/>
        </w:rPr>
        <w:t xml:space="preserve">1° Description synthétique de l’action </w:t>
      </w:r>
      <w:r w:rsidRPr="008F5C90">
        <w:rPr>
          <w:bCs/>
          <w:i/>
          <w:szCs w:val="24"/>
        </w:rPr>
        <w:t>(</w:t>
      </w:r>
      <w:r w:rsidRPr="008F5C90">
        <w:rPr>
          <w:i/>
          <w:szCs w:val="24"/>
        </w:rPr>
        <w:t>origine de la démarche, objectifs, cont</w:t>
      </w:r>
      <w:bookmarkStart w:id="0" w:name="_GoBack"/>
      <w:bookmarkEnd w:id="0"/>
      <w:r w:rsidRPr="008F5C90">
        <w:rPr>
          <w:i/>
          <w:szCs w:val="24"/>
        </w:rPr>
        <w:t>ributeurs, ressources utilisées)</w:t>
      </w:r>
      <w:r w:rsidR="00F77007">
        <w:rPr>
          <w:i/>
          <w:szCs w:val="24"/>
        </w:rPr>
        <w:t xml:space="preserve"> </w:t>
      </w:r>
    </w:p>
    <w:p w:rsidR="006F2B6C" w:rsidRPr="006F2B6C" w:rsidRDefault="006F2B6C" w:rsidP="006F2B6C">
      <w:pPr>
        <w:pStyle w:val="cdt4ke"/>
        <w:spacing w:before="0" w:beforeAutospacing="0" w:after="0" w:afterAutospacing="0"/>
        <w:rPr>
          <w:rFonts w:asciiTheme="minorHAnsi" w:hAnsiTheme="minorHAnsi" w:cstheme="minorHAnsi"/>
          <w:sz w:val="22"/>
        </w:rPr>
      </w:pPr>
      <w:r w:rsidRPr="006F2B6C">
        <w:rPr>
          <w:rFonts w:asciiTheme="minorHAnsi" w:hAnsiTheme="minorHAnsi" w:cstheme="minorHAnsi"/>
          <w:sz w:val="22"/>
        </w:rPr>
        <w:t>Mise en place d’un référentiel managérial afin d’accompagner les managers dans leurs missions et bonnes pratiques dans les établissements et dont l’objectif premier est que les managers s'attachent dans leur pratique à</w:t>
      </w:r>
      <w:r w:rsidRPr="006F2B6C">
        <w:rPr>
          <w:rFonts w:asciiTheme="minorHAnsi" w:hAnsiTheme="minorHAnsi" w:cstheme="minorHAnsi"/>
          <w:b/>
          <w:bCs/>
          <w:sz w:val="22"/>
        </w:rPr>
        <w:t xml:space="preserve"> promouvoir la participation</w:t>
      </w:r>
      <w:r w:rsidRPr="006F2B6C">
        <w:rPr>
          <w:rFonts w:asciiTheme="minorHAnsi" w:hAnsiTheme="minorHAnsi" w:cstheme="minorHAnsi"/>
          <w:sz w:val="22"/>
        </w:rPr>
        <w:t xml:space="preserve"> des personnes accompagnées, soignées, formées et à </w:t>
      </w:r>
      <w:r w:rsidRPr="006F2B6C">
        <w:rPr>
          <w:rFonts w:asciiTheme="minorHAnsi" w:hAnsiTheme="minorHAnsi" w:cstheme="minorHAnsi"/>
          <w:b/>
          <w:bCs/>
          <w:sz w:val="22"/>
        </w:rPr>
        <w:t>maximiser l'impact social</w:t>
      </w:r>
      <w:r w:rsidRPr="006F2B6C">
        <w:rPr>
          <w:rFonts w:asciiTheme="minorHAnsi" w:hAnsiTheme="minorHAnsi" w:cstheme="minorHAnsi"/>
          <w:sz w:val="22"/>
        </w:rPr>
        <w:t xml:space="preserve"> de leurs actions managériales</w:t>
      </w:r>
    </w:p>
    <w:p w:rsidR="0071424A" w:rsidRPr="008F5C90"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2° Méthode utilisée</w:t>
      </w:r>
    </w:p>
    <w:p w:rsidR="0071424A" w:rsidRPr="00A757BB"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Méthodologie :</w:t>
      </w:r>
      <w:r w:rsidR="00B4175B">
        <w:rPr>
          <w:b/>
          <w:szCs w:val="24"/>
        </w:rPr>
        <w:t xml:space="preserve"> </w:t>
      </w:r>
      <w:r w:rsidR="00B4175B" w:rsidRPr="00A757BB">
        <w:rPr>
          <w:szCs w:val="24"/>
        </w:rPr>
        <w:t>des compétences identifiées</w:t>
      </w:r>
      <w:r w:rsidR="00A757BB" w:rsidRPr="00A757BB">
        <w:rPr>
          <w:szCs w:val="24"/>
        </w:rPr>
        <w:t xml:space="preserve"> avec les déclinaisons opérationnelles</w:t>
      </w:r>
      <w:r w:rsidR="00B4175B" w:rsidRPr="00A757BB">
        <w:rPr>
          <w:szCs w:val="24"/>
        </w:rPr>
        <w:t>, des rituels individuels et collectifs</w:t>
      </w:r>
      <w:r w:rsidR="00A757BB" w:rsidRPr="00A757BB">
        <w:rPr>
          <w:szCs w:val="24"/>
        </w:rPr>
        <w:t>, des profils cibles.</w:t>
      </w:r>
    </w:p>
    <w:p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Outils :</w:t>
      </w:r>
      <w:r w:rsidR="00A757BB">
        <w:rPr>
          <w:b/>
          <w:szCs w:val="24"/>
        </w:rPr>
        <w:t xml:space="preserve"> </w:t>
      </w:r>
      <w:r w:rsidR="00A757BB" w:rsidRPr="00A757BB">
        <w:rPr>
          <w:szCs w:val="24"/>
        </w:rPr>
        <w:t>un site dédié, des supports de présentation</w:t>
      </w:r>
      <w:r w:rsidR="00A757BB">
        <w:rPr>
          <w:b/>
          <w:szCs w:val="24"/>
        </w:rPr>
        <w:t xml:space="preserve"> </w:t>
      </w:r>
    </w:p>
    <w:p w:rsidR="0071424A" w:rsidRPr="006F2B6C" w:rsidRDefault="0071424A" w:rsidP="0071424A">
      <w:pPr>
        <w:pBdr>
          <w:top w:val="single" w:sz="4" w:space="1" w:color="auto"/>
          <w:left w:val="single" w:sz="4" w:space="4" w:color="auto"/>
          <w:bottom w:val="single" w:sz="4" w:space="1" w:color="auto"/>
          <w:right w:val="single" w:sz="4" w:space="4" w:color="auto"/>
        </w:pBdr>
        <w:rPr>
          <w:szCs w:val="24"/>
        </w:rPr>
      </w:pPr>
      <w:r w:rsidRPr="008F5C90">
        <w:rPr>
          <w:b/>
          <w:szCs w:val="24"/>
        </w:rPr>
        <w:t>Evaluation / indicateurs :</w:t>
      </w:r>
      <w:r w:rsidR="00A757BB">
        <w:rPr>
          <w:b/>
          <w:szCs w:val="24"/>
        </w:rPr>
        <w:t xml:space="preserve"> </w:t>
      </w:r>
      <w:r w:rsidR="006F2B6C" w:rsidRPr="006F2B6C">
        <w:rPr>
          <w:szCs w:val="24"/>
        </w:rPr>
        <w:t xml:space="preserve">En fonction des rituels et des compétences, </w:t>
      </w:r>
      <w:r w:rsidR="006F2B6C">
        <w:rPr>
          <w:szCs w:val="24"/>
        </w:rPr>
        <w:t xml:space="preserve">des </w:t>
      </w:r>
      <w:proofErr w:type="spellStart"/>
      <w:r w:rsidR="006F2B6C">
        <w:rPr>
          <w:szCs w:val="24"/>
        </w:rPr>
        <w:t>reportings</w:t>
      </w:r>
      <w:proofErr w:type="spellEnd"/>
      <w:r w:rsidR="006F2B6C">
        <w:rPr>
          <w:szCs w:val="24"/>
        </w:rPr>
        <w:t xml:space="preserve"> sur des indicateurs phares (nombre de réunions, temps collectif, individuel…)</w:t>
      </w:r>
    </w:p>
    <w:p w:rsidR="0071424A" w:rsidRPr="008F5C90"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Apports / acteurs :</w:t>
      </w:r>
      <w:r w:rsidR="00A757BB">
        <w:rPr>
          <w:b/>
          <w:szCs w:val="24"/>
        </w:rPr>
        <w:t xml:space="preserve"> </w:t>
      </w:r>
      <w:r w:rsidR="00A757BB" w:rsidRPr="00A757BB">
        <w:rPr>
          <w:szCs w:val="24"/>
        </w:rPr>
        <w:t>Du directeur services centraux au manager de proximité</w:t>
      </w:r>
      <w:r w:rsidR="00A757BB">
        <w:rPr>
          <w:b/>
          <w:szCs w:val="24"/>
        </w:rPr>
        <w:t>.</w:t>
      </w:r>
    </w:p>
    <w:p w:rsidR="0071424A" w:rsidRDefault="0071424A" w:rsidP="0071424A">
      <w:pPr>
        <w:pBdr>
          <w:top w:val="single" w:sz="4" w:space="1" w:color="auto"/>
          <w:left w:val="single" w:sz="4" w:space="4" w:color="auto"/>
          <w:bottom w:val="single" w:sz="4" w:space="1" w:color="auto"/>
          <w:right w:val="single" w:sz="4" w:space="4" w:color="auto"/>
        </w:pBdr>
        <w:rPr>
          <w:b/>
          <w:szCs w:val="24"/>
        </w:rPr>
      </w:pPr>
      <w:r w:rsidRPr="008F5C90">
        <w:rPr>
          <w:b/>
          <w:szCs w:val="24"/>
        </w:rPr>
        <w:t>Quelle mise à disposition ou diffusion ?</w:t>
      </w:r>
    </w:p>
    <w:p w:rsidR="00A757BB" w:rsidRPr="006F2B6C" w:rsidRDefault="00A757BB" w:rsidP="0071424A">
      <w:pPr>
        <w:pBdr>
          <w:top w:val="single" w:sz="4" w:space="1" w:color="auto"/>
          <w:left w:val="single" w:sz="4" w:space="4" w:color="auto"/>
          <w:bottom w:val="single" w:sz="4" w:space="1" w:color="auto"/>
          <w:right w:val="single" w:sz="4" w:space="4" w:color="auto"/>
        </w:pBdr>
        <w:rPr>
          <w:szCs w:val="24"/>
        </w:rPr>
      </w:pPr>
      <w:r w:rsidRPr="006F2B6C">
        <w:rPr>
          <w:szCs w:val="24"/>
        </w:rPr>
        <w:t xml:space="preserve">Une communication </w:t>
      </w:r>
      <w:r w:rsidR="006F2B6C" w:rsidRPr="006F2B6C">
        <w:rPr>
          <w:szCs w:val="24"/>
        </w:rPr>
        <w:t>descendante</w:t>
      </w:r>
      <w:r w:rsidR="006F2B6C">
        <w:rPr>
          <w:szCs w:val="24"/>
        </w:rPr>
        <w:t xml:space="preserve"> via </w:t>
      </w:r>
      <w:proofErr w:type="gramStart"/>
      <w:r w:rsidR="006F2B6C">
        <w:rPr>
          <w:szCs w:val="24"/>
        </w:rPr>
        <w:t>les codir</w:t>
      </w:r>
      <w:proofErr w:type="gramEnd"/>
      <w:r w:rsidRPr="006F2B6C">
        <w:rPr>
          <w:szCs w:val="24"/>
        </w:rPr>
        <w:t>, un site dédié</w:t>
      </w:r>
      <w:r w:rsidR="006F2B6C">
        <w:rPr>
          <w:szCs w:val="24"/>
        </w:rPr>
        <w:t xml:space="preserve"> d’appui et des outils de communication</w:t>
      </w:r>
    </w:p>
    <w:p w:rsidR="0071424A" w:rsidRPr="008F5C90" w:rsidRDefault="0071424A" w:rsidP="0071424A">
      <w:pPr>
        <w:pBdr>
          <w:top w:val="single" w:sz="4" w:space="1" w:color="auto"/>
          <w:left w:val="single" w:sz="4" w:space="4" w:color="auto"/>
          <w:bottom w:val="single" w:sz="4" w:space="1" w:color="auto"/>
          <w:right w:val="single" w:sz="4" w:space="4" w:color="auto"/>
        </w:pBdr>
        <w:rPr>
          <w:szCs w:val="24"/>
        </w:rPr>
      </w:pPr>
      <w:r w:rsidRPr="008F5C90">
        <w:rPr>
          <w:b/>
          <w:bCs/>
          <w:szCs w:val="24"/>
        </w:rPr>
        <w:t>3° Points positifs à capitaliser</w:t>
      </w:r>
      <w:r w:rsidRPr="008F5C90">
        <w:rPr>
          <w:szCs w:val="24"/>
        </w:rPr>
        <w:t> </w:t>
      </w:r>
      <w:r w:rsidRPr="008F5C90">
        <w:rPr>
          <w:i/>
          <w:szCs w:val="24"/>
        </w:rPr>
        <w:t>(ce qui a marché, ce qu’il a produit</w:t>
      </w:r>
      <w:r w:rsidRPr="008F5C90">
        <w:rPr>
          <w:szCs w:val="24"/>
        </w:rPr>
        <w:t>)</w:t>
      </w:r>
    </w:p>
    <w:p w:rsidR="0071424A" w:rsidRPr="008F5C90" w:rsidRDefault="00A757BB" w:rsidP="00F77007">
      <w:pPr>
        <w:pBdr>
          <w:top w:val="single" w:sz="4" w:space="1" w:color="auto"/>
          <w:left w:val="single" w:sz="4" w:space="4" w:color="auto"/>
          <w:bottom w:val="single" w:sz="4" w:space="1" w:color="auto"/>
          <w:right w:val="single" w:sz="4" w:space="4" w:color="auto"/>
        </w:pBdr>
        <w:rPr>
          <w:szCs w:val="24"/>
        </w:rPr>
      </w:pPr>
      <w:r>
        <w:rPr>
          <w:szCs w:val="24"/>
        </w:rPr>
        <w:t xml:space="preserve">Permettre </w:t>
      </w:r>
      <w:r w:rsidR="006F2B6C">
        <w:rPr>
          <w:szCs w:val="24"/>
        </w:rPr>
        <w:t xml:space="preserve">une homogénéisation des bases (notamment rituels individuels et collectifs) pour tous les managers </w:t>
      </w:r>
    </w:p>
    <w:p w:rsidR="0071424A" w:rsidRDefault="0071424A" w:rsidP="0071424A">
      <w:pPr>
        <w:pBdr>
          <w:top w:val="single" w:sz="4" w:space="1" w:color="auto"/>
          <w:left w:val="single" w:sz="4" w:space="4" w:color="auto"/>
          <w:bottom w:val="single" w:sz="4" w:space="1" w:color="auto"/>
          <w:right w:val="single" w:sz="4" w:space="4" w:color="auto"/>
        </w:pBdr>
        <w:rPr>
          <w:i/>
          <w:szCs w:val="24"/>
        </w:rPr>
      </w:pPr>
      <w:r w:rsidRPr="008F5C90">
        <w:rPr>
          <w:b/>
          <w:bCs/>
          <w:szCs w:val="24"/>
        </w:rPr>
        <w:t>4° Points négatifs</w:t>
      </w:r>
      <w:r w:rsidRPr="008F5C90">
        <w:rPr>
          <w:szCs w:val="24"/>
        </w:rPr>
        <w:t> (</w:t>
      </w:r>
      <w:r w:rsidRPr="008F5C90">
        <w:rPr>
          <w:i/>
          <w:szCs w:val="24"/>
        </w:rPr>
        <w:t>ses limites, ce qui n’a pas marché, ce qui a manqué)</w:t>
      </w:r>
    </w:p>
    <w:p w:rsidR="0071424A" w:rsidRPr="008F5C90" w:rsidRDefault="006F2B6C" w:rsidP="0071424A">
      <w:pPr>
        <w:pBdr>
          <w:top w:val="single" w:sz="4" w:space="1" w:color="auto"/>
          <w:left w:val="single" w:sz="4" w:space="4" w:color="auto"/>
          <w:bottom w:val="single" w:sz="4" w:space="1" w:color="auto"/>
          <w:right w:val="single" w:sz="4" w:space="4" w:color="auto"/>
        </w:pBdr>
        <w:rPr>
          <w:szCs w:val="24"/>
        </w:rPr>
      </w:pPr>
      <w:r w:rsidRPr="006F2B6C">
        <w:rPr>
          <w:szCs w:val="24"/>
        </w:rPr>
        <w:t xml:space="preserve">Manque d’investissement de certains mangers, faute de temps </w:t>
      </w:r>
    </w:p>
    <w:p w:rsidR="00FD11FA" w:rsidRDefault="0071424A" w:rsidP="0071424A">
      <w:pPr>
        <w:pBdr>
          <w:top w:val="single" w:sz="4" w:space="1" w:color="auto"/>
          <w:left w:val="single" w:sz="4" w:space="4" w:color="auto"/>
          <w:bottom w:val="single" w:sz="4" w:space="1" w:color="auto"/>
          <w:right w:val="single" w:sz="4" w:space="4" w:color="auto"/>
        </w:pBdr>
        <w:rPr>
          <w:b/>
          <w:bCs/>
          <w:szCs w:val="24"/>
        </w:rPr>
      </w:pPr>
      <w:r w:rsidRPr="008F5C90">
        <w:rPr>
          <w:b/>
          <w:bCs/>
          <w:szCs w:val="24"/>
        </w:rPr>
        <w:t xml:space="preserve">5° Conclusion </w:t>
      </w:r>
    </w:p>
    <w:p w:rsidR="006F2B6C" w:rsidRPr="006F2B6C" w:rsidRDefault="006F2B6C" w:rsidP="0071424A">
      <w:pPr>
        <w:pBdr>
          <w:top w:val="single" w:sz="4" w:space="1" w:color="auto"/>
          <w:left w:val="single" w:sz="4" w:space="4" w:color="auto"/>
          <w:bottom w:val="single" w:sz="4" w:space="1" w:color="auto"/>
          <w:right w:val="single" w:sz="4" w:space="4" w:color="auto"/>
        </w:pBdr>
        <w:rPr>
          <w:bCs/>
          <w:szCs w:val="24"/>
        </w:rPr>
      </w:pPr>
      <w:r w:rsidRPr="006F2B6C">
        <w:rPr>
          <w:bCs/>
          <w:szCs w:val="24"/>
        </w:rPr>
        <w:t>Un outil opérationnel, assurant des pré requis managé</w:t>
      </w:r>
      <w:r>
        <w:rPr>
          <w:bCs/>
          <w:szCs w:val="24"/>
        </w:rPr>
        <w:t>riaux comme cadre de référence pour assurer la mission managériale de qualité et d’impact mesurable pour les salariés ;(réunions, temps d’échanges assurés…)</w:t>
      </w:r>
    </w:p>
    <w:p w:rsidR="00FF5F38" w:rsidRDefault="00FF5F38"/>
    <w:sectPr w:rsidR="00FF5F38">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A7" w:rsidRDefault="00B527A7" w:rsidP="0071424A">
      <w:pPr>
        <w:spacing w:after="0" w:line="240" w:lineRule="auto"/>
      </w:pPr>
      <w:r>
        <w:separator/>
      </w:r>
    </w:p>
  </w:endnote>
  <w:endnote w:type="continuationSeparator" w:id="0">
    <w:p w:rsidR="00B527A7" w:rsidRDefault="00B527A7" w:rsidP="007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A7" w:rsidRDefault="00B527A7" w:rsidP="0071424A">
      <w:pPr>
        <w:spacing w:after="0" w:line="240" w:lineRule="auto"/>
      </w:pPr>
      <w:r>
        <w:separator/>
      </w:r>
    </w:p>
  </w:footnote>
  <w:footnote w:type="continuationSeparator" w:id="0">
    <w:p w:rsidR="00B527A7" w:rsidRDefault="00B527A7" w:rsidP="0071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0" w:rsidRDefault="00B527A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0" o:spid="_x0000_s2052" type="#_x0000_t136" style="position:absolute;margin-left:0;margin-top:0;width:577.5pt;height:61.85pt;rotation:315;z-index:-251655168;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6A" w:rsidRDefault="00B527A7" w:rsidP="0074196A">
    <w:pPr>
      <w:pStyle w:val="En-tte"/>
      <w:tabs>
        <w:tab w:val="clear" w:pos="4536"/>
      </w:tabs>
      <w:ind w:firstLine="141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11" o:spid="_x0000_s2053" type="#_x0000_t136" style="position:absolute;left:0;text-align:left;margin-left:0;margin-top:0;width:577.5pt;height:61.85pt;rotation:315;z-index:-251653120;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r w:rsidR="00A260E0">
      <w:t xml:space="preserve">Mission attractivité des métiers de l’autonomie – </w:t>
    </w:r>
    <w:r w:rsidR="0074196A">
      <w:t>Croix rouge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E0" w:rsidRDefault="00B527A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66109" o:spid="_x0000_s2051" type="#_x0000_t136" style="position:absolute;margin-left:0;margin-top:0;width:577.5pt;height:61.85pt;rotation:315;z-index:-251657216;mso-position-horizontal:center;mso-position-horizontal-relative:margin;mso-position-vertical:center;mso-position-vertical-relative:margin" o:allowincell="f" fillcolor="silver" stroked="f">
          <v:fill opacity=".5"/>
          <v:textpath style="font-family:&quot;Calibri&quot;;font-size:1pt" string="Attractivité métiers de l'autonom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4A"/>
    <w:rsid w:val="000311BF"/>
    <w:rsid w:val="002A715A"/>
    <w:rsid w:val="00402E03"/>
    <w:rsid w:val="0059626C"/>
    <w:rsid w:val="005D23B3"/>
    <w:rsid w:val="006F2B6C"/>
    <w:rsid w:val="0071424A"/>
    <w:rsid w:val="0074196A"/>
    <w:rsid w:val="00823F4A"/>
    <w:rsid w:val="008C1A87"/>
    <w:rsid w:val="00A260E0"/>
    <w:rsid w:val="00A757BB"/>
    <w:rsid w:val="00B4175B"/>
    <w:rsid w:val="00B527A7"/>
    <w:rsid w:val="00B82607"/>
    <w:rsid w:val="00F77007"/>
    <w:rsid w:val="00FB74ED"/>
    <w:rsid w:val="00FD11FA"/>
    <w:rsid w:val="00FF5F38"/>
    <w:rsid w:val="00FF7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66208F9"/>
  <w15:chartTrackingRefBased/>
  <w15:docId w15:val="{8E5652D0-2511-4A08-B9C6-3C341668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424A"/>
    <w:pPr>
      <w:tabs>
        <w:tab w:val="center" w:pos="4536"/>
        <w:tab w:val="right" w:pos="9072"/>
      </w:tabs>
      <w:spacing w:after="0" w:line="240" w:lineRule="auto"/>
    </w:pPr>
  </w:style>
  <w:style w:type="character" w:customStyle="1" w:styleId="En-tteCar">
    <w:name w:val="En-tête Car"/>
    <w:basedOn w:val="Policepardfaut"/>
    <w:link w:val="En-tte"/>
    <w:uiPriority w:val="99"/>
    <w:rsid w:val="0071424A"/>
  </w:style>
  <w:style w:type="paragraph" w:styleId="Pieddepage">
    <w:name w:val="footer"/>
    <w:basedOn w:val="Normal"/>
    <w:link w:val="PieddepageCar"/>
    <w:uiPriority w:val="99"/>
    <w:unhideWhenUsed/>
    <w:rsid w:val="00714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24A"/>
  </w:style>
  <w:style w:type="paragraph" w:customStyle="1" w:styleId="cdt4ke">
    <w:name w:val="cdt4ke"/>
    <w:basedOn w:val="Normal"/>
    <w:rsid w:val="00B417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4175B"/>
    <w:rPr>
      <w:b/>
      <w:bCs/>
    </w:rPr>
  </w:style>
  <w:style w:type="paragraph" w:styleId="Textedebulles">
    <w:name w:val="Balloon Text"/>
    <w:basedOn w:val="Normal"/>
    <w:link w:val="TextedebullesCar"/>
    <w:uiPriority w:val="99"/>
    <w:semiHidden/>
    <w:unhideWhenUsed/>
    <w:rsid w:val="00F770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7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1640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TIRIAU, Hélène (DGOS/SOUS-DIR DES RESS HUMAINES SYSTEME SANTE/RH3)</dc:creator>
  <cp:keywords/>
  <dc:description/>
  <cp:lastModifiedBy>HANET, Nathalie (SGMCAS)</cp:lastModifiedBy>
  <cp:revision>4</cp:revision>
  <cp:lastPrinted>2021-08-31T08:32:00Z</cp:lastPrinted>
  <dcterms:created xsi:type="dcterms:W3CDTF">2021-08-31T08:36:00Z</dcterms:created>
  <dcterms:modified xsi:type="dcterms:W3CDTF">2021-08-31T13:26:00Z</dcterms:modified>
</cp:coreProperties>
</file>