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6"/>
      </w:tblGrid>
      <w:tr w:rsidR="00FE5725" w14:paraId="53F9602C" w14:textId="77777777" w:rsidTr="00FE5725">
        <w:tc>
          <w:tcPr>
            <w:tcW w:w="4820" w:type="dxa"/>
          </w:tcPr>
          <w:p w14:paraId="242206B4" w14:textId="7F109C45" w:rsidR="00FE5725" w:rsidRDefault="00FE5725" w:rsidP="00FE5725">
            <w:pPr>
              <w:rPr>
                <w:b/>
                <w:sz w:val="24"/>
              </w:rPr>
            </w:pPr>
            <w:r>
              <w:rPr>
                <w:b/>
                <w:noProof/>
                <w:sz w:val="24"/>
                <w:lang w:eastAsia="fr-FR"/>
              </w:rPr>
              <w:drawing>
                <wp:inline distT="0" distB="0" distL="0" distR="0" wp14:anchorId="1FC956A5" wp14:editId="22C1C789">
                  <wp:extent cx="1713230" cy="1329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329055"/>
                          </a:xfrm>
                          <a:prstGeom prst="rect">
                            <a:avLst/>
                          </a:prstGeom>
                          <a:noFill/>
                        </pic:spPr>
                      </pic:pic>
                    </a:graphicData>
                  </a:graphic>
                </wp:inline>
              </w:drawing>
            </w:r>
          </w:p>
        </w:tc>
        <w:tc>
          <w:tcPr>
            <w:tcW w:w="4531" w:type="dxa"/>
          </w:tcPr>
          <w:tbl>
            <w:tblPr>
              <w:tblStyle w:val="Grilledutableau"/>
              <w:tblW w:w="4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tblGrid>
            <w:tr w:rsidR="00FE5725" w14:paraId="0711FE2A" w14:textId="77777777" w:rsidTr="00FE5725">
              <w:trPr>
                <w:trHeight w:val="2157"/>
              </w:trPr>
              <w:tc>
                <w:tcPr>
                  <w:tcW w:w="4750" w:type="dxa"/>
                </w:tcPr>
                <w:p w14:paraId="29D4B834" w14:textId="77777777" w:rsidR="00FE5725" w:rsidRDefault="00FE5725" w:rsidP="00FE5725">
                  <w:pPr>
                    <w:rPr>
                      <w:b/>
                    </w:rPr>
                  </w:pPr>
                </w:p>
                <w:p w14:paraId="60AB6FB1" w14:textId="77777777" w:rsidR="00FE5725" w:rsidRDefault="00FE5725" w:rsidP="00FE5725">
                  <w:pPr>
                    <w:rPr>
                      <w:b/>
                    </w:rPr>
                  </w:pPr>
                </w:p>
                <w:p w14:paraId="2BE8BA1C" w14:textId="77777777" w:rsidR="00FE5725" w:rsidRDefault="00FE5725" w:rsidP="00FE5725">
                  <w:pPr>
                    <w:rPr>
                      <w:b/>
                    </w:rPr>
                  </w:pPr>
                </w:p>
                <w:p w14:paraId="1A3891BA" w14:textId="77777777" w:rsidR="00FE5725" w:rsidRPr="00286CFB" w:rsidRDefault="00FE5725" w:rsidP="00FE5725">
                  <w:pPr>
                    <w:widowControl w:val="0"/>
                    <w:tabs>
                      <w:tab w:val="center" w:pos="4513"/>
                      <w:tab w:val="right" w:pos="9026"/>
                    </w:tabs>
                    <w:autoSpaceDE w:val="0"/>
                    <w:autoSpaceDN w:val="0"/>
                    <w:jc w:val="right"/>
                    <w:rPr>
                      <w:rFonts w:ascii="Arial" w:eastAsia="Arial" w:hAnsi="Arial" w:cs="Arial"/>
                    </w:rPr>
                  </w:pPr>
                  <w:r w:rsidRPr="00286CFB">
                    <w:rPr>
                      <w:rFonts w:ascii="Arial" w:eastAsia="Arial" w:hAnsi="Arial" w:cs="Arial"/>
                      <w:b/>
                      <w:bCs/>
                      <w:sz w:val="24"/>
                      <w:szCs w:val="24"/>
                    </w:rPr>
                    <w:t>Direction générale</w:t>
                  </w:r>
                  <w:r w:rsidRPr="00286CFB">
                    <w:rPr>
                      <w:rFonts w:ascii="Arial" w:eastAsia="Arial" w:hAnsi="Arial" w:cs="Arial"/>
                      <w:b/>
                      <w:bCs/>
                      <w:sz w:val="24"/>
                      <w:szCs w:val="24"/>
                    </w:rPr>
                    <w:br/>
                    <w:t>de la cohésion sociale</w:t>
                  </w:r>
                </w:p>
                <w:p w14:paraId="073B3FFA" w14:textId="77777777" w:rsidR="00FE5725" w:rsidRDefault="00FE5725" w:rsidP="00FE5725">
                  <w:pPr>
                    <w:rPr>
                      <w:b/>
                    </w:rPr>
                  </w:pPr>
                </w:p>
              </w:tc>
            </w:tr>
          </w:tbl>
          <w:p w14:paraId="4867DF96" w14:textId="77777777" w:rsidR="00FE5725" w:rsidRDefault="00FE5725" w:rsidP="00FE5725">
            <w:pPr>
              <w:rPr>
                <w:b/>
                <w:sz w:val="24"/>
              </w:rPr>
            </w:pPr>
          </w:p>
        </w:tc>
      </w:tr>
    </w:tbl>
    <w:p w14:paraId="2E1CF6EE" w14:textId="5B9E8741" w:rsidR="00FE5725" w:rsidRDefault="00FE5725" w:rsidP="00FE5725">
      <w:pPr>
        <w:spacing w:after="0"/>
        <w:rPr>
          <w:b/>
          <w:sz w:val="24"/>
        </w:rPr>
      </w:pPr>
    </w:p>
    <w:p w14:paraId="4E768F5E" w14:textId="77777777" w:rsidR="00FE5725" w:rsidRDefault="00FE5725" w:rsidP="007C5494">
      <w:pPr>
        <w:spacing w:after="0"/>
        <w:jc w:val="center"/>
        <w:rPr>
          <w:b/>
          <w:sz w:val="24"/>
        </w:rPr>
      </w:pPr>
    </w:p>
    <w:p w14:paraId="2B8A97D0" w14:textId="4C21F9BC" w:rsidR="007C5494" w:rsidRDefault="007C5494" w:rsidP="007C5494">
      <w:pPr>
        <w:spacing w:after="0"/>
        <w:jc w:val="center"/>
        <w:rPr>
          <w:b/>
          <w:sz w:val="24"/>
        </w:rPr>
      </w:pPr>
      <w:r>
        <w:rPr>
          <w:b/>
          <w:sz w:val="24"/>
        </w:rPr>
        <w:t>La démarche de contractualisation pluriannuelle</w:t>
      </w:r>
    </w:p>
    <w:p w14:paraId="4E98A4B6" w14:textId="044EEFA6" w:rsidR="00EE1DE5" w:rsidRDefault="0096221D" w:rsidP="007C5494">
      <w:pPr>
        <w:spacing w:after="0"/>
        <w:jc w:val="center"/>
        <w:rPr>
          <w:b/>
          <w:sz w:val="24"/>
        </w:rPr>
      </w:pPr>
      <w:proofErr w:type="gramStart"/>
      <w:r>
        <w:rPr>
          <w:b/>
          <w:sz w:val="24"/>
        </w:rPr>
        <w:t>entre</w:t>
      </w:r>
      <w:proofErr w:type="gramEnd"/>
      <w:r>
        <w:rPr>
          <w:b/>
          <w:sz w:val="24"/>
        </w:rPr>
        <w:t xml:space="preserve"> les</w:t>
      </w:r>
      <w:r w:rsidR="007C5494">
        <w:rPr>
          <w:b/>
          <w:sz w:val="24"/>
        </w:rPr>
        <w:t xml:space="preserve"> services d’aide et d’accompagnement à domicile</w:t>
      </w:r>
      <w:r>
        <w:rPr>
          <w:b/>
          <w:sz w:val="24"/>
        </w:rPr>
        <w:t xml:space="preserve"> et les conseils départementaux</w:t>
      </w:r>
    </w:p>
    <w:p w14:paraId="337BEAF3" w14:textId="316F1866" w:rsidR="005D406D" w:rsidRDefault="005D406D" w:rsidP="005D406D">
      <w:pPr>
        <w:spacing w:after="0"/>
        <w:jc w:val="both"/>
      </w:pPr>
      <w:r w:rsidRPr="005D406D">
        <w:t xml:space="preserve"> </w:t>
      </w:r>
    </w:p>
    <w:p w14:paraId="33F13230" w14:textId="77777777" w:rsidR="00FC1779" w:rsidRPr="005D406D" w:rsidRDefault="00FC1779" w:rsidP="005D406D">
      <w:pPr>
        <w:spacing w:after="0"/>
        <w:jc w:val="both"/>
      </w:pPr>
    </w:p>
    <w:p w14:paraId="08ACC365" w14:textId="5D228FAE" w:rsidR="00C94A94" w:rsidRDefault="00C94A94" w:rsidP="00C94A94">
      <w:pPr>
        <w:spacing w:after="0"/>
        <w:jc w:val="both"/>
      </w:pPr>
      <w:r>
        <w:t>Introduits dans le secteur social et médico-social par la loi n°2002-2 du 2 janvier 2002, le contrat pluriannuel d’objectifs et de moyens (CPOM) s’est progressivement imposé dans le paysage social et médico-social, comme outil privilégié de modernisation du dialogue entre gestionnaires d’établissements ou services et pouvoirs publics.</w:t>
      </w:r>
    </w:p>
    <w:p w14:paraId="10B180D6" w14:textId="77777777" w:rsidR="00C94A94" w:rsidRDefault="00C94A94" w:rsidP="00C94A94">
      <w:pPr>
        <w:spacing w:after="0"/>
        <w:jc w:val="both"/>
      </w:pPr>
    </w:p>
    <w:p w14:paraId="1B6DA70A" w14:textId="618D726A" w:rsidR="00F454D1" w:rsidRDefault="00C94A94" w:rsidP="00C94A94">
      <w:pPr>
        <w:spacing w:after="0"/>
        <w:jc w:val="both"/>
      </w:pPr>
      <w:r>
        <w:t>Instrument de mise en œuvre des politiques publiques dans les territoires, il permet de mettre en cohérence l</w:t>
      </w:r>
      <w:r w:rsidR="002103FA">
        <w:t>es objectifs de l’organisme</w:t>
      </w:r>
      <w:r>
        <w:t xml:space="preserve"> gestionnaire et de ses structures avec les priorités définies dans </w:t>
      </w:r>
      <w:proofErr w:type="gramStart"/>
      <w:r>
        <w:t>les</w:t>
      </w:r>
      <w:proofErr w:type="gramEnd"/>
      <w:r>
        <w:t xml:space="preserve"> documents de programmation </w:t>
      </w:r>
      <w:r w:rsidR="00F454D1">
        <w:t>territoriaux</w:t>
      </w:r>
      <w:r>
        <w:t>.</w:t>
      </w:r>
      <w:r w:rsidRPr="00A826AE">
        <w:t xml:space="preserve"> </w:t>
      </w:r>
      <w:r>
        <w:t xml:space="preserve">Le CPOM permet de fixer des objectifs de performance, d’amélioration de la qualité et de l’efficience de la réponse apportée aux personnes accompagnées, </w:t>
      </w:r>
      <w:r w:rsidR="00C01739" w:rsidRPr="00C01739">
        <w:t xml:space="preserve">en y associant les financements publics correspondant </w:t>
      </w:r>
      <w:r>
        <w:t>en favorisant les logiques de m</w:t>
      </w:r>
      <w:r w:rsidR="00F454D1">
        <w:t>utualisation et de coopération.</w:t>
      </w:r>
    </w:p>
    <w:p w14:paraId="21E1EA62" w14:textId="77777777" w:rsidR="00F454D1" w:rsidRDefault="00F454D1" w:rsidP="00C94A94">
      <w:pPr>
        <w:spacing w:after="0"/>
        <w:jc w:val="both"/>
      </w:pPr>
    </w:p>
    <w:p w14:paraId="105E442F" w14:textId="7E3B5065" w:rsidR="00C94A94" w:rsidRDefault="00C94A94" w:rsidP="00C94A94">
      <w:pPr>
        <w:spacing w:after="0"/>
        <w:jc w:val="both"/>
      </w:pPr>
      <w:r>
        <w:t>Il est par ailleurs un puissant levier de transformation de l’offre médico-sociale, visant à anticiper les évolutions du secteur pour répondre aux besoins et nouvel</w:t>
      </w:r>
      <w:r w:rsidR="00F454D1">
        <w:t>les attentes du public accompagné</w:t>
      </w:r>
      <w:r>
        <w:t>. Enfin, il contribue à une meilleure structuration</w:t>
      </w:r>
      <w:r w:rsidR="00C01739">
        <w:t xml:space="preserve"> et financement</w:t>
      </w:r>
      <w:r>
        <w:t xml:space="preserve"> de l’offre à l’échelle du territoire, facteur d’amélioration du parcours des personnes.</w:t>
      </w:r>
    </w:p>
    <w:p w14:paraId="6AAB5973" w14:textId="77777777" w:rsidR="00C94A94" w:rsidRDefault="00C94A94" w:rsidP="00C94A94">
      <w:pPr>
        <w:spacing w:after="0"/>
        <w:jc w:val="both"/>
      </w:pPr>
    </w:p>
    <w:p w14:paraId="6FE62CE7" w14:textId="3E0FCBDD" w:rsidR="00C94A94" w:rsidRDefault="00C94A94" w:rsidP="00C94A94">
      <w:pPr>
        <w:spacing w:after="0"/>
        <w:jc w:val="both"/>
      </w:pPr>
      <w:r>
        <w:t>En</w:t>
      </w:r>
      <w:r w:rsidR="00F454D1">
        <w:t>fin, en</w:t>
      </w:r>
      <w:r>
        <w:t>gageant</w:t>
      </w:r>
      <w:r w:rsidRPr="00C94A94">
        <w:t xml:space="preserve"> les parties sur </w:t>
      </w:r>
      <w:r>
        <w:t>plusieurs années, il responsabilise</w:t>
      </w:r>
      <w:r w:rsidRPr="00C94A94">
        <w:t xml:space="preserve"> les gestionnaires </w:t>
      </w:r>
      <w:r w:rsidR="00F454D1">
        <w:t xml:space="preserve">d’établissement ou de service </w:t>
      </w:r>
      <w:r w:rsidRPr="00C94A94">
        <w:t>sur l’atteinte d’objectifs fixés dans le temps, en contrepartie d’une visibilité des modalités d’évolution des financements alloués et de modalités de gestion simplifiées.</w:t>
      </w:r>
    </w:p>
    <w:p w14:paraId="5B24D709" w14:textId="6296BA21" w:rsidR="005D406D" w:rsidRDefault="005D406D" w:rsidP="005D406D">
      <w:pPr>
        <w:spacing w:after="0"/>
        <w:jc w:val="both"/>
      </w:pPr>
    </w:p>
    <w:p w14:paraId="2F5A61AB" w14:textId="540AD644" w:rsidR="00D41CFC" w:rsidRDefault="005D406D" w:rsidP="005D406D">
      <w:pPr>
        <w:spacing w:after="0"/>
        <w:jc w:val="both"/>
      </w:pPr>
      <w:r>
        <w:t xml:space="preserve">La loi n°2015-1776 du 28 décembre 2015 </w:t>
      </w:r>
      <w:r w:rsidRPr="005D406D">
        <w:t>d'adaptation de la société au vieillissement</w:t>
      </w:r>
      <w:r w:rsidR="00CC2839">
        <w:t xml:space="preserve"> a créé des dispositions spécifiques concernant les CPOM conclus par</w:t>
      </w:r>
      <w:r>
        <w:t xml:space="preserve"> les services d’aide et d’accompagnement à domicile </w:t>
      </w:r>
      <w:r w:rsidR="00CC2839">
        <w:t>en précisant</w:t>
      </w:r>
      <w:r>
        <w:t xml:space="preserve"> le contenu minimal de ces contrats</w:t>
      </w:r>
      <w:r w:rsidR="00CC2839">
        <w:t xml:space="preserve"> (article L.313-11-1 du code de l’action sociale et des familles</w:t>
      </w:r>
      <w:r w:rsidR="00FE5725">
        <w:t>)</w:t>
      </w:r>
      <w:r>
        <w:t>.</w:t>
      </w:r>
    </w:p>
    <w:p w14:paraId="1E3C3188" w14:textId="77777777" w:rsidR="00FE5725" w:rsidRDefault="00FE5725" w:rsidP="005D406D">
      <w:pPr>
        <w:spacing w:after="0"/>
        <w:jc w:val="both"/>
      </w:pPr>
    </w:p>
    <w:p w14:paraId="39619817" w14:textId="10A858E0" w:rsidR="005D406D" w:rsidRDefault="005D406D" w:rsidP="005D406D">
      <w:pPr>
        <w:spacing w:after="0"/>
        <w:jc w:val="both"/>
      </w:pPr>
      <w:r>
        <w:t xml:space="preserve">A ce </w:t>
      </w:r>
      <w:proofErr w:type="gramStart"/>
      <w:r>
        <w:t>jour,</w:t>
      </w:r>
      <w:r w:rsidR="00C01739">
        <w:t xml:space="preserve"> </w:t>
      </w:r>
      <w:r>
        <w:t xml:space="preserve"> la</w:t>
      </w:r>
      <w:proofErr w:type="gramEnd"/>
      <w:r>
        <w:t xml:space="preserve"> conclusion d’</w:t>
      </w:r>
      <w:r w:rsidR="00D41CFC">
        <w:t>un CPOM</w:t>
      </w:r>
      <w:r w:rsidR="00CC2839">
        <w:t xml:space="preserve"> relevant de l’article L.313-11-1 du CASF</w:t>
      </w:r>
      <w:r w:rsidR="00D41CFC">
        <w:t xml:space="preserve"> reste</w:t>
      </w:r>
      <w:r>
        <w:t xml:space="preserve"> une faculté offerte aux gestionnaires de SAAD</w:t>
      </w:r>
      <w:r w:rsidR="00FC1779">
        <w:t>.</w:t>
      </w:r>
    </w:p>
    <w:p w14:paraId="70148252" w14:textId="0F0CCA4A" w:rsidR="00D41CFC" w:rsidRDefault="00FC1779" w:rsidP="005D406D">
      <w:pPr>
        <w:spacing w:after="0"/>
        <w:jc w:val="both"/>
      </w:pPr>
      <w:r>
        <w:t>Elle est toutefois obligatoire pour bénéficier du versement de la dotation complémentaire prévue par l’article 44 de la loi de financement de la sécurité sociale</w:t>
      </w:r>
      <w:r w:rsidR="00CC2839">
        <w:t xml:space="preserve"> pour 2022</w:t>
      </w:r>
      <w:r>
        <w:t>.</w:t>
      </w:r>
      <w:r w:rsidR="004A0C59">
        <w:t xml:space="preserve"> </w:t>
      </w:r>
    </w:p>
    <w:p w14:paraId="0B262C65" w14:textId="74FA17C1" w:rsidR="00CC4722" w:rsidRDefault="00CC4722" w:rsidP="005D406D">
      <w:pPr>
        <w:spacing w:after="0"/>
        <w:jc w:val="both"/>
      </w:pPr>
    </w:p>
    <w:p w14:paraId="6DFC33DE" w14:textId="77777777" w:rsidR="00AE71E2" w:rsidRDefault="00AE71E2" w:rsidP="00AE71E2">
      <w:pPr>
        <w:spacing w:after="0"/>
        <w:jc w:val="both"/>
      </w:pPr>
    </w:p>
    <w:p w14:paraId="3A1A5E12" w14:textId="7630B9B3" w:rsidR="00AE71E2" w:rsidRDefault="00AE71E2" w:rsidP="00AE71E2">
      <w:pPr>
        <w:spacing w:after="0"/>
        <w:jc w:val="both"/>
      </w:pPr>
      <w:r>
        <w:lastRenderedPageBreak/>
        <w:t>La présente fiche a pour objet d’appuyer les services du département et les gestionnaires de SAAD dans cette démarche</w:t>
      </w:r>
      <w:r w:rsidR="00CC2839">
        <w:t xml:space="preserve"> de contractualisation</w:t>
      </w:r>
      <w:r w:rsidR="00FE5725">
        <w:rPr>
          <w:rStyle w:val="Appelnotedebasdep"/>
        </w:rPr>
        <w:footnoteReference w:id="1"/>
      </w:r>
      <w:r>
        <w:t xml:space="preserve">. </w:t>
      </w:r>
      <w:r w:rsidR="00CC2839" w:rsidRPr="00CC2839">
        <w:t>Elle peut s’appliquer</w:t>
      </w:r>
      <w:r w:rsidR="00CC0A13">
        <w:t xml:space="preserve"> à tout CPOM</w:t>
      </w:r>
      <w:r w:rsidR="00CC2839" w:rsidRPr="00CC2839">
        <w:t xml:space="preserve"> qu’il s’agisse ou non d’un CPOM permettant l’attribution d’une dotation complémentaire. </w:t>
      </w:r>
      <w:r w:rsidR="00CC2839">
        <w:t xml:space="preserve"> </w:t>
      </w:r>
      <w:r>
        <w:t xml:space="preserve">Elle est complétée par </w:t>
      </w:r>
      <w:r w:rsidR="00C94A94">
        <w:t>une trame-type</w:t>
      </w:r>
      <w:r>
        <w:t xml:space="preserve"> de CPOM élaboré</w:t>
      </w:r>
      <w:r w:rsidR="00C94A94">
        <w:t>e</w:t>
      </w:r>
      <w:r>
        <w:t xml:space="preserve"> dans le cadre du groupe de travail animé par la DGCS qui s’est réuni de février à avril 2022</w:t>
      </w:r>
      <w:r w:rsidR="002103FA">
        <w:t xml:space="preserve"> en vue </w:t>
      </w:r>
      <w:r>
        <w:t xml:space="preserve">de la </w:t>
      </w:r>
      <w:r w:rsidR="002103FA">
        <w:t>rédaction</w:t>
      </w:r>
      <w:r>
        <w:t xml:space="preserve"> du décret</w:t>
      </w:r>
      <w:r w:rsidR="00CC0A13">
        <w:t xml:space="preserve"> n°</w:t>
      </w:r>
      <w:r w:rsidR="00CC0A13" w:rsidRPr="00CC0A13">
        <w:t xml:space="preserve"> 2022-735 du 28 avril 2022 relatif au financement des services proposant des prestations d’aide et d’accompagnement à domicile</w:t>
      </w:r>
      <w:r w:rsidR="00CC0A13">
        <w:rPr>
          <w:rStyle w:val="Appelnotedebasdep"/>
        </w:rPr>
        <w:footnoteReference w:id="2"/>
      </w:r>
      <w:r w:rsidR="00CC0A13">
        <w:t xml:space="preserve">. </w:t>
      </w:r>
      <w:r w:rsidR="00080C58">
        <w:t>Ce contrat-type est un modèle qu’il est recommandé d’utiliser en l’ad</w:t>
      </w:r>
      <w:r w:rsidR="002103FA">
        <w:t xml:space="preserve">aptant autant que de besoin. </w:t>
      </w:r>
      <w:r w:rsidR="002103FA" w:rsidRPr="002103FA">
        <w:rPr>
          <w:b/>
        </w:rPr>
        <w:t xml:space="preserve">Il </w:t>
      </w:r>
      <w:r w:rsidR="00080C58" w:rsidRPr="002103FA">
        <w:rPr>
          <w:b/>
        </w:rPr>
        <w:t>n’est pas o</w:t>
      </w:r>
      <w:r w:rsidR="002103FA">
        <w:rPr>
          <w:b/>
        </w:rPr>
        <w:t>pposable aux parties signataires du contrat</w:t>
      </w:r>
      <w:r w:rsidR="006C59E2">
        <w:t>.</w:t>
      </w:r>
    </w:p>
    <w:p w14:paraId="46511079" w14:textId="6338E185" w:rsidR="00CC0A13" w:rsidRDefault="00CC0A13" w:rsidP="00AE71E2">
      <w:pPr>
        <w:spacing w:after="0"/>
        <w:jc w:val="both"/>
      </w:pPr>
    </w:p>
    <w:p w14:paraId="6DAA20DC" w14:textId="77777777" w:rsidR="00CC0A13" w:rsidRPr="00CC0A13" w:rsidRDefault="00CC0A13" w:rsidP="00CC0A13">
      <w:pPr>
        <w:spacing w:after="0"/>
        <w:jc w:val="both"/>
        <w:rPr>
          <w:b/>
        </w:rPr>
      </w:pPr>
      <w:r w:rsidRPr="00CC0A13">
        <w:rPr>
          <w:b/>
        </w:rPr>
        <w:t>Les principales étapes de la contractualisation et leur durée estimative peuvent se définir ainsi :</w:t>
      </w:r>
    </w:p>
    <w:p w14:paraId="32BB902F" w14:textId="77777777" w:rsidR="00CC0A13" w:rsidRDefault="00CC0A13" w:rsidP="00CC0A13">
      <w:pPr>
        <w:spacing w:after="0"/>
        <w:jc w:val="both"/>
      </w:pPr>
      <w:r w:rsidRPr="00350050">
        <w:rPr>
          <w:b/>
        </w:rPr>
        <w:t>Etape 1</w:t>
      </w:r>
      <w:r>
        <w:t xml:space="preserve"> : Cadrer la démarche (1 mois)</w:t>
      </w:r>
    </w:p>
    <w:p w14:paraId="60972314" w14:textId="77777777" w:rsidR="00CC0A13" w:rsidRDefault="00CC0A13" w:rsidP="00CC0A13">
      <w:pPr>
        <w:spacing w:after="0"/>
        <w:jc w:val="both"/>
      </w:pPr>
      <w:r w:rsidRPr="00350050">
        <w:rPr>
          <w:b/>
        </w:rPr>
        <w:t>Etape 2</w:t>
      </w:r>
      <w:r>
        <w:t xml:space="preserve"> : Etablir un diagnostic partagé (minimum 3 mois) </w:t>
      </w:r>
      <w:r>
        <w:tab/>
      </w:r>
    </w:p>
    <w:p w14:paraId="2129A576" w14:textId="77777777" w:rsidR="00CC0A13" w:rsidRDefault="00CC0A13" w:rsidP="00CC0A13">
      <w:pPr>
        <w:spacing w:after="0"/>
        <w:jc w:val="both"/>
      </w:pPr>
      <w:r w:rsidRPr="00350050">
        <w:rPr>
          <w:b/>
        </w:rPr>
        <w:t>Etape 3</w:t>
      </w:r>
      <w:r>
        <w:t xml:space="preserve"> : Définir une stratégie d’évolution de l’activité, négocier et signer le contrat (minimum 3 mois)</w:t>
      </w:r>
    </w:p>
    <w:p w14:paraId="55BD689F" w14:textId="77777777" w:rsidR="00CC0A13" w:rsidRDefault="00CC0A13" w:rsidP="00CC0A13">
      <w:pPr>
        <w:spacing w:after="0"/>
        <w:jc w:val="both"/>
      </w:pPr>
      <w:r w:rsidRPr="00350050">
        <w:rPr>
          <w:b/>
        </w:rPr>
        <w:t>Etape 4</w:t>
      </w:r>
      <w:r>
        <w:t xml:space="preserve"> : Mettre en œuvre et assurer le suivi du contrat (durée du contrat)</w:t>
      </w:r>
      <w:r>
        <w:tab/>
      </w:r>
    </w:p>
    <w:p w14:paraId="18308828" w14:textId="5E6383E9" w:rsidR="00CC0A13" w:rsidRDefault="00CC0A13" w:rsidP="00CC0A13">
      <w:pPr>
        <w:spacing w:after="0"/>
        <w:jc w:val="both"/>
      </w:pPr>
      <w:r w:rsidRPr="00350050">
        <w:rPr>
          <w:b/>
        </w:rPr>
        <w:t>Etape 5</w:t>
      </w:r>
      <w:r>
        <w:t xml:space="preserve"> : Réaliser le bilan et le renouvellement du contrat (dernière année du contrat)</w:t>
      </w:r>
    </w:p>
    <w:p w14:paraId="1E0B7C59" w14:textId="77777777" w:rsidR="003909D7" w:rsidRDefault="003909D7" w:rsidP="00AE71E2">
      <w:pPr>
        <w:spacing w:after="0"/>
        <w:jc w:val="both"/>
      </w:pPr>
    </w:p>
    <w:p w14:paraId="4D935568" w14:textId="0C59563A" w:rsidR="00BD24E1" w:rsidRPr="006D01B0" w:rsidRDefault="009C624E" w:rsidP="004D65D4">
      <w:pPr>
        <w:pStyle w:val="Paragraphedeliste"/>
        <w:numPr>
          <w:ilvl w:val="0"/>
          <w:numId w:val="4"/>
        </w:numPr>
        <w:jc w:val="both"/>
        <w:rPr>
          <w:b/>
          <w:sz w:val="24"/>
        </w:rPr>
      </w:pPr>
      <w:r w:rsidRPr="006D01B0">
        <w:rPr>
          <w:b/>
          <w:sz w:val="24"/>
        </w:rPr>
        <w:t xml:space="preserve">La phase </w:t>
      </w:r>
      <w:r w:rsidR="00CC0A13">
        <w:rPr>
          <w:b/>
          <w:sz w:val="24"/>
        </w:rPr>
        <w:t>préparatoire ou phase de cadrage</w:t>
      </w:r>
      <w:r w:rsidRPr="006D01B0">
        <w:rPr>
          <w:b/>
          <w:sz w:val="24"/>
        </w:rPr>
        <w:t> </w:t>
      </w:r>
    </w:p>
    <w:p w14:paraId="2CAE3D3A" w14:textId="277629E4" w:rsidR="00BD24E1" w:rsidRPr="007659C6" w:rsidRDefault="00BD24E1" w:rsidP="004D65D4">
      <w:pPr>
        <w:jc w:val="both"/>
      </w:pPr>
      <w:r w:rsidRPr="007659C6">
        <w:t xml:space="preserve">La </w:t>
      </w:r>
      <w:r w:rsidR="00347578">
        <w:t>phase de cadrage,</w:t>
      </w:r>
      <w:r w:rsidRPr="007659C6">
        <w:t xml:space="preserve"> en amont des négociations</w:t>
      </w:r>
      <w:r w:rsidR="00347578">
        <w:t>,</w:t>
      </w:r>
      <w:r w:rsidRPr="007659C6">
        <w:t xml:space="preserve"> est une étape indispensable qui permet de faire gagner du temps pour les étapes suivantes</w:t>
      </w:r>
      <w:r>
        <w:t>.</w:t>
      </w:r>
    </w:p>
    <w:p w14:paraId="336F9D22" w14:textId="1B117BF4" w:rsidR="00BD24E1" w:rsidRDefault="00BD24E1" w:rsidP="004D65D4">
      <w:pPr>
        <w:jc w:val="both"/>
      </w:pPr>
      <w:r>
        <w:t>Pour les services du départe</w:t>
      </w:r>
      <w:r w:rsidR="00347578">
        <w:t xml:space="preserve">ment et pour les </w:t>
      </w:r>
      <w:r w:rsidR="006C59E2">
        <w:t xml:space="preserve">organismes </w:t>
      </w:r>
      <w:r w:rsidR="00347578">
        <w:t>gestionnaires il s’agit de</w:t>
      </w:r>
      <w:r>
        <w:t xml:space="preserve"> se mettre en ordre de marche, </w:t>
      </w:r>
      <w:r w:rsidR="00347578">
        <w:t xml:space="preserve">de </w:t>
      </w:r>
      <w:r>
        <w:t xml:space="preserve">définir une organisation, </w:t>
      </w:r>
      <w:r w:rsidR="00347578">
        <w:t>d’</w:t>
      </w:r>
      <w:r>
        <w:t>i</w:t>
      </w:r>
      <w:r w:rsidRPr="007659C6">
        <w:t>dentifier les personnes responsables de la démarche et leur rôle à chaque étape du CPOM</w:t>
      </w:r>
      <w:r>
        <w:t>, désigner un référent CPOM…</w:t>
      </w:r>
    </w:p>
    <w:p w14:paraId="5BEBEAA1" w14:textId="4B17B76B" w:rsidR="00BD24E1" w:rsidRDefault="00BD24E1" w:rsidP="004D65D4">
      <w:pPr>
        <w:jc w:val="both"/>
      </w:pPr>
      <w:r>
        <w:t>L</w:t>
      </w:r>
      <w:r w:rsidRPr="00E957FD">
        <w:t xml:space="preserve">e cadrage permet une compréhension partagée des parties prenantes sur les objectifs, le périmètre, le pilotage, la responsabilité de chacune, ainsi que sur le calendrier </w:t>
      </w:r>
      <w:r w:rsidR="00347578">
        <w:t>à respecter</w:t>
      </w:r>
      <w:r w:rsidRPr="00E957FD">
        <w:t>.</w:t>
      </w:r>
    </w:p>
    <w:p w14:paraId="10B0BB0F" w14:textId="34623046" w:rsidR="004D65D4" w:rsidRPr="004D65D4" w:rsidRDefault="004D65D4" w:rsidP="006D01B0">
      <w:pPr>
        <w:ind w:firstLine="708"/>
        <w:jc w:val="both"/>
        <w:rPr>
          <w:b/>
          <w:color w:val="1F497D" w:themeColor="text2"/>
        </w:rPr>
      </w:pPr>
      <w:r w:rsidRPr="004D65D4">
        <w:rPr>
          <w:rFonts w:cstheme="minorHAnsi"/>
          <w:b/>
          <w:color w:val="1F497D" w:themeColor="text2"/>
        </w:rPr>
        <w:t>→</w:t>
      </w:r>
      <w:r>
        <w:rPr>
          <w:b/>
          <w:color w:val="1F497D" w:themeColor="text2"/>
        </w:rPr>
        <w:t xml:space="preserve"> O</w:t>
      </w:r>
      <w:r w:rsidR="00BD24E1" w:rsidRPr="004D65D4">
        <w:rPr>
          <w:b/>
          <w:color w:val="1F497D" w:themeColor="text2"/>
        </w:rPr>
        <w:t>rganiser une réunion de lancement pour préciser l’ensemble les élém</w:t>
      </w:r>
      <w:r w:rsidRPr="004D65D4">
        <w:rPr>
          <w:b/>
          <w:color w:val="1F497D" w:themeColor="text2"/>
        </w:rPr>
        <w:t>ents de cadrage de la démarche.</w:t>
      </w:r>
    </w:p>
    <w:p w14:paraId="0495150F" w14:textId="1FE78A48" w:rsidR="00BD24E1" w:rsidRDefault="00BD24E1" w:rsidP="004D65D4">
      <w:pPr>
        <w:jc w:val="both"/>
      </w:pPr>
      <w:r w:rsidRPr="007659C6">
        <w:t>Cette première réunion permet aux parties prenantes de poser les bases des travaux qui vont suivre et avoir une définition partagée du CPOM, de ses enjeux, des objectifs et des marges de manœuvre disponibles. Une transparence totale quant à ces dernières est à rechercher</w:t>
      </w:r>
      <w:r>
        <w:t>.</w:t>
      </w:r>
    </w:p>
    <w:p w14:paraId="642A114A" w14:textId="71B3A333" w:rsidR="004D65D4" w:rsidRPr="004D65D4" w:rsidRDefault="004D65D4" w:rsidP="006D01B0">
      <w:pPr>
        <w:ind w:firstLine="708"/>
        <w:jc w:val="both"/>
        <w:rPr>
          <w:b/>
          <w:color w:val="1F497D" w:themeColor="text2"/>
        </w:rPr>
      </w:pPr>
      <w:r w:rsidRPr="004D65D4">
        <w:rPr>
          <w:rFonts w:cstheme="minorHAnsi"/>
          <w:b/>
          <w:color w:val="1F497D" w:themeColor="text2"/>
        </w:rPr>
        <w:t>→</w:t>
      </w:r>
      <w:r>
        <w:rPr>
          <w:b/>
          <w:color w:val="1F497D" w:themeColor="text2"/>
        </w:rPr>
        <w:t xml:space="preserve"> R</w:t>
      </w:r>
      <w:r w:rsidR="00BD24E1" w:rsidRPr="004D65D4">
        <w:rPr>
          <w:b/>
          <w:color w:val="1F497D" w:themeColor="text2"/>
        </w:rPr>
        <w:t>édiger une lettre de cadrage des</w:t>
      </w:r>
      <w:r w:rsidRPr="004D65D4">
        <w:rPr>
          <w:b/>
          <w:color w:val="1F497D" w:themeColor="text2"/>
        </w:rPr>
        <w:t xml:space="preserve"> travaux d’élaboration du CPOM</w:t>
      </w:r>
    </w:p>
    <w:p w14:paraId="33908C0F" w14:textId="16EB79F1" w:rsidR="00BD24E1" w:rsidRDefault="004D65D4" w:rsidP="004D65D4">
      <w:pPr>
        <w:jc w:val="both"/>
      </w:pPr>
      <w:r>
        <w:t>Ce</w:t>
      </w:r>
      <w:r w:rsidR="00BD24E1" w:rsidRPr="007659C6">
        <w:t xml:space="preserve"> document</w:t>
      </w:r>
      <w:r>
        <w:t>,</w:t>
      </w:r>
      <w:r w:rsidR="00BD24E1" w:rsidRPr="007659C6">
        <w:t xml:space="preserve"> synthétique</w:t>
      </w:r>
      <w:r>
        <w:t>,</w:t>
      </w:r>
      <w:r w:rsidR="00BD24E1" w:rsidRPr="007659C6">
        <w:t xml:space="preserve"> validé par les deux parties pouvant prendre la forme d’un tableau (comme un outil de rétro</w:t>
      </w:r>
      <w:r w:rsidR="00BD24E1">
        <w:t>-</w:t>
      </w:r>
      <w:r>
        <w:t>planning), comprend</w:t>
      </w:r>
      <w:r w:rsidR="00BD24E1" w:rsidRPr="007659C6">
        <w:t xml:space="preserve"> notamment les personnes référentes et leurs coordonnées, les </w:t>
      </w:r>
      <w:r w:rsidR="00BD24E1" w:rsidRPr="007659C6">
        <w:lastRenderedPageBreak/>
        <w:t>étapes de travail, la répartition des tâches et les calendriers associés</w:t>
      </w:r>
      <w:r w:rsidR="00BD24E1">
        <w:t>. Etablir un phasage, élaborer un calendrier des travaux (comitologie, rétro-planning).</w:t>
      </w:r>
    </w:p>
    <w:p w14:paraId="5EADA706" w14:textId="3BEE29BA" w:rsidR="00CC0A13" w:rsidRDefault="00BD24E1" w:rsidP="004D65D4">
      <w:pPr>
        <w:jc w:val="both"/>
      </w:pPr>
      <w:r w:rsidRPr="007659C6">
        <w:t>Lors du cadrage, il est important de s’accorder sur le calendrier de mise en œuvre du CPOM et la répartition des tâches entre l’</w:t>
      </w:r>
      <w:r w:rsidR="00C01739">
        <w:t>organisme gestionnaire et le conseil départemental</w:t>
      </w:r>
      <w:r w:rsidRPr="007659C6">
        <w:t xml:space="preserve"> (notamment sur les documents à formaliser). La mise en place d’outils type retro-planning est intéressante pour qu’organismes ges</w:t>
      </w:r>
      <w:r w:rsidR="006C59E2">
        <w:t>tionnaires et services du département</w:t>
      </w:r>
      <w:r w:rsidRPr="007659C6">
        <w:t xml:space="preserve"> puissent suivre le</w:t>
      </w:r>
      <w:r w:rsidR="006C59E2">
        <w:t xml:space="preserve"> bon déroulement de la démarche</w:t>
      </w:r>
    </w:p>
    <w:p w14:paraId="0E2969C0" w14:textId="76D13A40" w:rsidR="00CC0A13" w:rsidRPr="004D65D4" w:rsidRDefault="00CC0A13" w:rsidP="00CC0A13">
      <w:pPr>
        <w:ind w:firstLine="708"/>
        <w:jc w:val="both"/>
        <w:rPr>
          <w:b/>
          <w:color w:val="1F497D" w:themeColor="text2"/>
        </w:rPr>
      </w:pPr>
      <w:r w:rsidRPr="004D65D4">
        <w:rPr>
          <w:rFonts w:cstheme="minorHAnsi"/>
          <w:b/>
          <w:color w:val="1F497D" w:themeColor="text2"/>
        </w:rPr>
        <w:t>→</w:t>
      </w:r>
      <w:r>
        <w:rPr>
          <w:b/>
          <w:color w:val="1F497D" w:themeColor="text2"/>
        </w:rPr>
        <w:t> N</w:t>
      </w:r>
      <w:r w:rsidRPr="00CC0A13">
        <w:rPr>
          <w:b/>
          <w:color w:val="1F497D" w:themeColor="text2"/>
        </w:rPr>
        <w:t xml:space="preserve">e pas sous-estimer le temps d’élaboration du CPOM </w:t>
      </w:r>
    </w:p>
    <w:p w14:paraId="396119A5" w14:textId="7E8A11EB" w:rsidR="00350050" w:rsidRDefault="00BD24E1" w:rsidP="004D65D4">
      <w:pPr>
        <w:jc w:val="both"/>
      </w:pPr>
      <w:r w:rsidRPr="007659C6">
        <w:t xml:space="preserve">L’enjeu pour l’organisme gestionnaire et les services </w:t>
      </w:r>
      <w:r w:rsidR="006C59E2">
        <w:t>du département</w:t>
      </w:r>
      <w:r w:rsidRPr="007659C6">
        <w:t xml:space="preserve"> est de dégager un temps de travail suffisant qui prenne en compte le travail quotidien et ne soit pas décalé par des urgences opérationnelles.</w:t>
      </w:r>
      <w:r w:rsidR="006C59E2">
        <w:t xml:space="preserve"> Cette préoccupation doit notamment prévaloir en cas de CPOM dans le cadre de l’attribution de la dotation complémentaire, qui devront être conclus dans l’année suivant les résultats des appels à candidatures organisés par les conseils départementaux.</w:t>
      </w:r>
    </w:p>
    <w:p w14:paraId="7609F798" w14:textId="6B188E9B" w:rsidR="004D65D4" w:rsidRPr="004D65D4" w:rsidRDefault="004D65D4" w:rsidP="006D01B0">
      <w:pPr>
        <w:ind w:firstLine="708"/>
        <w:jc w:val="both"/>
        <w:rPr>
          <w:b/>
          <w:color w:val="1F497D" w:themeColor="text2"/>
        </w:rPr>
      </w:pPr>
      <w:r w:rsidRPr="004D65D4">
        <w:rPr>
          <w:rFonts w:cstheme="minorHAnsi"/>
          <w:b/>
          <w:color w:val="1F497D" w:themeColor="text2"/>
        </w:rPr>
        <w:t>→</w:t>
      </w:r>
      <w:r w:rsidRPr="004D65D4">
        <w:rPr>
          <w:b/>
          <w:color w:val="1F497D" w:themeColor="text2"/>
        </w:rPr>
        <w:t xml:space="preserve"> </w:t>
      </w:r>
      <w:r>
        <w:rPr>
          <w:b/>
          <w:color w:val="1F497D" w:themeColor="text2"/>
        </w:rPr>
        <w:t>C</w:t>
      </w:r>
      <w:r w:rsidR="00BD24E1" w:rsidRPr="004D65D4">
        <w:rPr>
          <w:b/>
          <w:color w:val="1F497D" w:themeColor="text2"/>
        </w:rPr>
        <w:t>onstituer un comité de pilotag</w:t>
      </w:r>
      <w:r w:rsidR="008C090F">
        <w:rPr>
          <w:b/>
          <w:color w:val="1F497D" w:themeColor="text2"/>
        </w:rPr>
        <w:t>e pour l’élaboration du</w:t>
      </w:r>
      <w:r w:rsidRPr="004D65D4">
        <w:rPr>
          <w:b/>
          <w:color w:val="1F497D" w:themeColor="text2"/>
        </w:rPr>
        <w:t xml:space="preserve"> CPOM.</w:t>
      </w:r>
    </w:p>
    <w:p w14:paraId="7A892EBE" w14:textId="04181A93" w:rsidR="00BD24E1" w:rsidRDefault="004668F1" w:rsidP="004D65D4">
      <w:pPr>
        <w:jc w:val="both"/>
      </w:pPr>
      <w:r>
        <w:t>Ce comité pourra être</w:t>
      </w:r>
      <w:r w:rsidR="00BD24E1">
        <w:t xml:space="preserve"> composé des mêmes personnes chargées du suivi du CPOM et de l’évaluation des résultats. Lors de la phase d’élaboration, il sera réuni à l’occasion des différentes phases d’élaboration du CPOM. Ces réunions formelles permettent de rythmer </w:t>
      </w:r>
      <w:r w:rsidR="00350050">
        <w:t>les travaux afin</w:t>
      </w:r>
      <w:r w:rsidR="00BD24E1">
        <w:t xml:space="preserve"> de réduire les risques de dérapage des délais. Chaque réunion doit avoir un </w:t>
      </w:r>
      <w:r w:rsidR="00350050">
        <w:t>ordre du jour</w:t>
      </w:r>
      <w:r w:rsidR="00BD24E1">
        <w:t xml:space="preserve"> précis avec les attendus de livraison de document ou de prise de décision.</w:t>
      </w:r>
    </w:p>
    <w:p w14:paraId="5483DBE6" w14:textId="5F938420" w:rsidR="00BD24E1" w:rsidRDefault="00196B05" w:rsidP="004D65D4">
      <w:pPr>
        <w:jc w:val="both"/>
      </w:pPr>
      <w:r>
        <w:t>Plus généralement, ce comité de pilotage a pour fonction d’i</w:t>
      </w:r>
      <w:r w:rsidRPr="00196B05">
        <w:t>nstaurer un dialogue continu, désamorcer les points de tensio</w:t>
      </w:r>
      <w:r w:rsidR="00350050">
        <w:t>ns</w:t>
      </w:r>
      <w:r w:rsidR="004668F1">
        <w:t>. En effet, il</w:t>
      </w:r>
      <w:r>
        <w:t xml:space="preserve"> est indispensable d’instaurer un climat de confiance entre les parties.</w:t>
      </w:r>
    </w:p>
    <w:p w14:paraId="756ECEAA" w14:textId="77777777" w:rsidR="006C59E2" w:rsidRDefault="006C59E2" w:rsidP="004D65D4">
      <w:pPr>
        <w:jc w:val="both"/>
      </w:pPr>
    </w:p>
    <w:p w14:paraId="7B4E0F2F" w14:textId="515B3607" w:rsidR="00347578" w:rsidRPr="006D01B0" w:rsidRDefault="00347578" w:rsidP="006D01B0">
      <w:pPr>
        <w:pStyle w:val="Paragraphedeliste"/>
        <w:numPr>
          <w:ilvl w:val="0"/>
          <w:numId w:val="4"/>
        </w:numPr>
        <w:jc w:val="both"/>
        <w:rPr>
          <w:b/>
          <w:sz w:val="24"/>
        </w:rPr>
      </w:pPr>
      <w:r w:rsidRPr="006D01B0">
        <w:rPr>
          <w:b/>
          <w:sz w:val="24"/>
        </w:rPr>
        <w:t>Le diagnostic partagé</w:t>
      </w:r>
      <w:r w:rsidR="009C624E" w:rsidRPr="006D01B0">
        <w:rPr>
          <w:b/>
          <w:sz w:val="24"/>
        </w:rPr>
        <w:t> </w:t>
      </w:r>
    </w:p>
    <w:p w14:paraId="2EF49168" w14:textId="59C30FA1" w:rsidR="000729E0" w:rsidRDefault="00347578" w:rsidP="006D01B0">
      <w:pPr>
        <w:jc w:val="both"/>
      </w:pPr>
      <w:r w:rsidRPr="00347578">
        <w:t>Le diagn</w:t>
      </w:r>
      <w:r w:rsidR="00196B05">
        <w:t xml:space="preserve">ostic partagé </w:t>
      </w:r>
      <w:r w:rsidR="002103FA" w:rsidRPr="002103FA">
        <w:t>constitue un préalable incontournable à la négociation du CPOM</w:t>
      </w:r>
      <w:r w:rsidR="002103FA">
        <w:t xml:space="preserve">. Il </w:t>
      </w:r>
      <w:r w:rsidR="00196B05">
        <w:t xml:space="preserve">vise à </w:t>
      </w:r>
      <w:r>
        <w:t xml:space="preserve">avoir une </w:t>
      </w:r>
      <w:r w:rsidRPr="006D01B0">
        <w:rPr>
          <w:b/>
        </w:rPr>
        <w:t>connaissance</w:t>
      </w:r>
      <w:r w:rsidR="00196B05" w:rsidRPr="006D01B0">
        <w:rPr>
          <w:b/>
        </w:rPr>
        <w:t xml:space="preserve"> partagée</w:t>
      </w:r>
      <w:r w:rsidRPr="006D01B0">
        <w:rPr>
          <w:b/>
        </w:rPr>
        <w:t xml:space="preserve"> </w:t>
      </w:r>
      <w:r w:rsidR="00196B05" w:rsidRPr="006D01B0">
        <w:rPr>
          <w:b/>
        </w:rPr>
        <w:t xml:space="preserve">des caractéristiques du territoire et </w:t>
      </w:r>
      <w:r w:rsidRPr="006D01B0">
        <w:rPr>
          <w:b/>
        </w:rPr>
        <w:t xml:space="preserve">de la situation </w:t>
      </w:r>
      <w:r w:rsidR="00196B05" w:rsidRPr="006D01B0">
        <w:rPr>
          <w:b/>
        </w:rPr>
        <w:t xml:space="preserve">du ou des </w:t>
      </w:r>
      <w:r w:rsidRPr="006D01B0">
        <w:rPr>
          <w:b/>
        </w:rPr>
        <w:t>service</w:t>
      </w:r>
      <w:r w:rsidR="00196B05" w:rsidRPr="006D01B0">
        <w:rPr>
          <w:b/>
        </w:rPr>
        <w:t>(</w:t>
      </w:r>
      <w:r w:rsidRPr="006D01B0">
        <w:rPr>
          <w:b/>
        </w:rPr>
        <w:t>s</w:t>
      </w:r>
      <w:r w:rsidR="00196B05" w:rsidRPr="006D01B0">
        <w:rPr>
          <w:b/>
        </w:rPr>
        <w:t>).</w:t>
      </w:r>
      <w:r w:rsidR="00196B05">
        <w:t xml:space="preserve"> </w:t>
      </w:r>
    </w:p>
    <w:p w14:paraId="0D2F98EC" w14:textId="59984EC2" w:rsidR="002103FA" w:rsidRDefault="000729E0" w:rsidP="006D01B0">
      <w:pPr>
        <w:spacing w:after="0"/>
        <w:jc w:val="both"/>
      </w:pPr>
      <w:r w:rsidRPr="000729E0">
        <w:t xml:space="preserve">Il porte sur l’offre existante sur le territoire et les besoins identifiés </w:t>
      </w:r>
      <w:r w:rsidRPr="009F3897">
        <w:t xml:space="preserve">et s’attache à estimer l’adéquation et les écarts </w:t>
      </w:r>
      <w:r>
        <w:t>de l’activité du/des service(s) avec c</w:t>
      </w:r>
      <w:r w:rsidRPr="009F3897">
        <w:t xml:space="preserve">es </w:t>
      </w:r>
      <w:r>
        <w:t>besoins sans pour autant viser à l’exhaustivité.</w:t>
      </w:r>
    </w:p>
    <w:p w14:paraId="14C2DB38" w14:textId="77777777" w:rsidR="000729E0" w:rsidRDefault="000729E0" w:rsidP="006D01B0">
      <w:pPr>
        <w:spacing w:after="0"/>
        <w:jc w:val="both"/>
      </w:pPr>
    </w:p>
    <w:p w14:paraId="42AC6D47" w14:textId="77777777" w:rsidR="004A5177" w:rsidRPr="004A5177" w:rsidRDefault="004A5177" w:rsidP="006D01B0">
      <w:pPr>
        <w:spacing w:after="0"/>
        <w:jc w:val="both"/>
        <w:rPr>
          <w:rFonts w:cstheme="minorHAnsi"/>
          <w:b/>
        </w:rPr>
      </w:pPr>
      <w:r w:rsidRPr="004A5177">
        <w:rPr>
          <w:rFonts w:cstheme="minorHAnsi"/>
          <w:b/>
        </w:rPr>
        <w:t>2-1 construire le diagnostic</w:t>
      </w:r>
    </w:p>
    <w:p w14:paraId="26FB3DA5" w14:textId="77777777" w:rsidR="004A5177" w:rsidRDefault="004A5177" w:rsidP="006D01B0">
      <w:pPr>
        <w:spacing w:after="0"/>
        <w:jc w:val="both"/>
        <w:rPr>
          <w:rFonts w:cstheme="minorHAnsi"/>
        </w:rPr>
      </w:pPr>
    </w:p>
    <w:p w14:paraId="575543A1" w14:textId="37063FB8" w:rsidR="002103FA" w:rsidRDefault="002103FA" w:rsidP="006D01B0">
      <w:pPr>
        <w:spacing w:after="0"/>
        <w:jc w:val="both"/>
        <w:rPr>
          <w:rFonts w:cstheme="minorHAnsi"/>
        </w:rPr>
      </w:pPr>
      <w:r w:rsidRPr="002103FA">
        <w:rPr>
          <w:rFonts w:cstheme="minorHAnsi"/>
        </w:rPr>
        <w:t>Ce diagnostic est réalisé par le gestionnaire et partag</w:t>
      </w:r>
      <w:r w:rsidR="00350050">
        <w:rPr>
          <w:rFonts w:cstheme="minorHAnsi"/>
        </w:rPr>
        <w:t>é avec le conseil départemental</w:t>
      </w:r>
      <w:r w:rsidRPr="002103FA">
        <w:rPr>
          <w:rFonts w:cstheme="minorHAnsi"/>
        </w:rPr>
        <w:t>. De la qualité du diagnostic dépendra en grande partie la qualité des échanges qui s’en suivront.</w:t>
      </w:r>
    </w:p>
    <w:p w14:paraId="4880B08D" w14:textId="77777777" w:rsidR="002103FA" w:rsidRDefault="002103FA" w:rsidP="006D01B0">
      <w:pPr>
        <w:spacing w:after="0"/>
        <w:jc w:val="both"/>
        <w:rPr>
          <w:rFonts w:cstheme="minorHAnsi"/>
        </w:rPr>
      </w:pPr>
    </w:p>
    <w:p w14:paraId="53F80291" w14:textId="39A3ADF4" w:rsidR="000729E0" w:rsidRPr="00BE5ED5" w:rsidRDefault="004A5177" w:rsidP="006D01B0">
      <w:pPr>
        <w:spacing w:after="0"/>
        <w:jc w:val="both"/>
        <w:rPr>
          <w:rFonts w:cstheme="minorHAnsi"/>
        </w:rPr>
      </w:pPr>
      <w:r>
        <w:rPr>
          <w:rFonts w:cstheme="minorHAnsi"/>
        </w:rPr>
        <w:t>Le diagnostic</w:t>
      </w:r>
      <w:r w:rsidR="000729E0" w:rsidRPr="00BE5ED5">
        <w:rPr>
          <w:rFonts w:cstheme="minorHAnsi"/>
        </w:rPr>
        <w:t xml:space="preserve"> doit être réalisé </w:t>
      </w:r>
      <w:r w:rsidR="000729E0">
        <w:rPr>
          <w:rFonts w:cstheme="minorHAnsi"/>
        </w:rPr>
        <w:t xml:space="preserve">dans une approche prospective et </w:t>
      </w:r>
      <w:r w:rsidR="000729E0" w:rsidRPr="00BE5ED5">
        <w:rPr>
          <w:rFonts w:cstheme="minorHAnsi"/>
        </w:rPr>
        <w:t xml:space="preserve">mettre en avant des éléments objectifs sur lesquels l’organisme gestionnaire pourra se reposer </w:t>
      </w:r>
      <w:r w:rsidR="000729E0">
        <w:rPr>
          <w:rFonts w:cstheme="minorHAnsi"/>
        </w:rPr>
        <w:t>pour faire évoluer</w:t>
      </w:r>
      <w:r w:rsidR="000729E0" w:rsidRPr="00BE5ED5">
        <w:rPr>
          <w:rFonts w:cstheme="minorHAnsi"/>
        </w:rPr>
        <w:t xml:space="preserve"> son offre</w:t>
      </w:r>
      <w:r w:rsidR="000729E0" w:rsidRPr="000729E0">
        <w:rPr>
          <w:rFonts w:cstheme="minorHAnsi"/>
        </w:rPr>
        <w:t>.</w:t>
      </w:r>
      <w:r w:rsidR="000729E0" w:rsidRPr="000729E0">
        <w:t xml:space="preserve"> </w:t>
      </w:r>
    </w:p>
    <w:p w14:paraId="39411D3A" w14:textId="77777777" w:rsidR="00BE5ED5" w:rsidRDefault="00BE5ED5" w:rsidP="006D01B0">
      <w:pPr>
        <w:pStyle w:val="Listepuce"/>
        <w:numPr>
          <w:ilvl w:val="0"/>
          <w:numId w:val="0"/>
        </w:numPr>
        <w:spacing w:before="0" w:after="0"/>
        <w:rPr>
          <w:rFonts w:asciiTheme="minorHAnsi" w:hAnsiTheme="minorHAnsi" w:cstheme="minorHAnsi"/>
          <w:sz w:val="22"/>
          <w:szCs w:val="22"/>
        </w:rPr>
      </w:pPr>
    </w:p>
    <w:p w14:paraId="20CA1FC3" w14:textId="77777777" w:rsidR="00F54807" w:rsidRDefault="00F54807" w:rsidP="006D01B0">
      <w:pPr>
        <w:ind w:firstLine="708"/>
        <w:jc w:val="both"/>
      </w:pPr>
      <w:r w:rsidRPr="00196B05">
        <w:rPr>
          <w:rFonts w:cstheme="minorHAnsi"/>
          <w:b/>
          <w:color w:val="1F497D" w:themeColor="text2"/>
        </w:rPr>
        <w:t>→</w:t>
      </w:r>
      <w:r w:rsidRPr="00196B05">
        <w:rPr>
          <w:b/>
          <w:color w:val="1F497D" w:themeColor="text2"/>
        </w:rPr>
        <w:t xml:space="preserve"> Identifier l’ensemble des ressources disponibles et des documents pouvant contribuer à l’élaboration du diagnostic</w:t>
      </w:r>
      <w:r w:rsidRPr="00BE5ED5">
        <w:t>,</w:t>
      </w:r>
      <w:r w:rsidRPr="00196B05">
        <w:rPr>
          <w:color w:val="1F497D" w:themeColor="text2"/>
        </w:rPr>
        <w:t xml:space="preserve"> </w:t>
      </w:r>
      <w:r w:rsidRPr="00C23DEA">
        <w:t>notamment :</w:t>
      </w:r>
    </w:p>
    <w:p w14:paraId="053150D0" w14:textId="77777777" w:rsidR="00F54807" w:rsidRPr="00BE5ED5" w:rsidRDefault="00F54807" w:rsidP="006D01B0">
      <w:pPr>
        <w:pStyle w:val="Conclusion"/>
        <w:numPr>
          <w:ilvl w:val="1"/>
          <w:numId w:val="7"/>
        </w:numPr>
        <w:spacing w:before="0" w:after="0"/>
        <w:jc w:val="both"/>
        <w:rPr>
          <w:rFonts w:asciiTheme="minorHAnsi" w:hAnsiTheme="minorHAnsi" w:cstheme="minorHAnsi"/>
          <w:sz w:val="22"/>
          <w:szCs w:val="22"/>
        </w:rPr>
      </w:pPr>
      <w:proofErr w:type="gramStart"/>
      <w:r w:rsidRPr="00BE5ED5">
        <w:rPr>
          <w:rFonts w:asciiTheme="minorHAnsi" w:hAnsiTheme="minorHAnsi" w:cstheme="minorHAnsi"/>
          <w:b w:val="0"/>
          <w:sz w:val="22"/>
          <w:szCs w:val="22"/>
        </w:rPr>
        <w:t>les</w:t>
      </w:r>
      <w:proofErr w:type="gramEnd"/>
      <w:r w:rsidRPr="00BE5ED5">
        <w:rPr>
          <w:rFonts w:asciiTheme="minorHAnsi" w:hAnsiTheme="minorHAnsi" w:cstheme="minorHAnsi"/>
          <w:b w:val="0"/>
          <w:sz w:val="22"/>
          <w:szCs w:val="22"/>
        </w:rPr>
        <w:t xml:space="preserve"> schémas départementaux de l’offre sociale et médico-sociale;</w:t>
      </w:r>
    </w:p>
    <w:p w14:paraId="4FF5EE4A" w14:textId="77777777" w:rsidR="00F54807" w:rsidRPr="00BE5ED5" w:rsidRDefault="00F54807" w:rsidP="006D01B0">
      <w:pPr>
        <w:pStyle w:val="Conclusion"/>
        <w:numPr>
          <w:ilvl w:val="1"/>
          <w:numId w:val="7"/>
        </w:numPr>
        <w:spacing w:before="0" w:after="0"/>
        <w:jc w:val="both"/>
        <w:rPr>
          <w:rFonts w:asciiTheme="minorHAnsi" w:hAnsiTheme="minorHAnsi" w:cstheme="minorHAnsi"/>
          <w:sz w:val="22"/>
          <w:szCs w:val="22"/>
        </w:rPr>
      </w:pPr>
      <w:proofErr w:type="gramStart"/>
      <w:r w:rsidRPr="00BE5ED5">
        <w:rPr>
          <w:rFonts w:asciiTheme="minorHAnsi" w:hAnsiTheme="minorHAnsi" w:cstheme="minorHAnsi"/>
          <w:b w:val="0"/>
          <w:sz w:val="22"/>
          <w:szCs w:val="22"/>
        </w:rPr>
        <w:t>les</w:t>
      </w:r>
      <w:proofErr w:type="gramEnd"/>
      <w:r w:rsidRPr="00BE5ED5">
        <w:rPr>
          <w:rFonts w:asciiTheme="minorHAnsi" w:hAnsiTheme="minorHAnsi" w:cstheme="minorHAnsi"/>
          <w:b w:val="0"/>
          <w:sz w:val="22"/>
          <w:szCs w:val="22"/>
        </w:rPr>
        <w:t xml:space="preserve"> données de l’INSEE ;</w:t>
      </w:r>
    </w:p>
    <w:p w14:paraId="28C3659A" w14:textId="77777777" w:rsidR="00F54807" w:rsidRPr="00BE5ED5" w:rsidRDefault="00F54807" w:rsidP="006D01B0">
      <w:pPr>
        <w:pStyle w:val="Conclusion"/>
        <w:numPr>
          <w:ilvl w:val="1"/>
          <w:numId w:val="7"/>
        </w:numPr>
        <w:spacing w:before="0" w:after="0"/>
        <w:jc w:val="both"/>
        <w:rPr>
          <w:rFonts w:asciiTheme="minorHAnsi" w:hAnsiTheme="minorHAnsi" w:cstheme="minorHAnsi"/>
          <w:sz w:val="22"/>
          <w:szCs w:val="22"/>
        </w:rPr>
      </w:pPr>
      <w:proofErr w:type="gramStart"/>
      <w:r w:rsidRPr="00BE5ED5">
        <w:rPr>
          <w:rFonts w:asciiTheme="minorHAnsi" w:hAnsiTheme="minorHAnsi" w:cstheme="minorHAnsi"/>
          <w:b w:val="0"/>
          <w:sz w:val="22"/>
          <w:szCs w:val="22"/>
        </w:rPr>
        <w:t>les</w:t>
      </w:r>
      <w:proofErr w:type="gramEnd"/>
      <w:r w:rsidRPr="00BE5ED5">
        <w:rPr>
          <w:rFonts w:asciiTheme="minorHAnsi" w:hAnsiTheme="minorHAnsi" w:cstheme="minorHAnsi"/>
          <w:b w:val="0"/>
          <w:sz w:val="22"/>
          <w:szCs w:val="22"/>
        </w:rPr>
        <w:t xml:space="preserve"> études, monographies réalisées au niveau local</w:t>
      </w:r>
    </w:p>
    <w:p w14:paraId="6B1D7AD1" w14:textId="31735477" w:rsidR="00F54807" w:rsidRPr="00534BA5" w:rsidRDefault="00F54807" w:rsidP="006D01B0">
      <w:pPr>
        <w:pStyle w:val="Conclusion"/>
        <w:numPr>
          <w:ilvl w:val="1"/>
          <w:numId w:val="7"/>
        </w:numPr>
        <w:spacing w:before="0" w:after="0"/>
        <w:jc w:val="both"/>
        <w:rPr>
          <w:rFonts w:asciiTheme="minorHAnsi" w:hAnsiTheme="minorHAnsi" w:cstheme="minorHAnsi"/>
          <w:b w:val="0"/>
          <w:sz w:val="22"/>
          <w:szCs w:val="22"/>
        </w:rPr>
      </w:pPr>
      <w:proofErr w:type="gramStart"/>
      <w:r w:rsidRPr="00534BA5">
        <w:rPr>
          <w:rFonts w:asciiTheme="minorHAnsi" w:hAnsiTheme="minorHAnsi" w:cstheme="minorHAnsi"/>
          <w:b w:val="0"/>
          <w:sz w:val="22"/>
          <w:szCs w:val="22"/>
        </w:rPr>
        <w:t>les</w:t>
      </w:r>
      <w:proofErr w:type="gramEnd"/>
      <w:r w:rsidRPr="00534BA5">
        <w:rPr>
          <w:rFonts w:asciiTheme="minorHAnsi" w:hAnsiTheme="minorHAnsi" w:cstheme="minorHAnsi"/>
          <w:b w:val="0"/>
          <w:sz w:val="22"/>
          <w:szCs w:val="22"/>
        </w:rPr>
        <w:t xml:space="preserve"> évaluations in</w:t>
      </w:r>
      <w:r w:rsidR="00CD7251" w:rsidRPr="00534BA5">
        <w:rPr>
          <w:rFonts w:asciiTheme="minorHAnsi" w:hAnsiTheme="minorHAnsi" w:cstheme="minorHAnsi"/>
          <w:b w:val="0"/>
          <w:sz w:val="22"/>
          <w:szCs w:val="22"/>
        </w:rPr>
        <w:t>ternes et externes disponibles/</w:t>
      </w:r>
      <w:r w:rsidR="006D01B0" w:rsidRPr="00534BA5">
        <w:rPr>
          <w:rFonts w:asciiTheme="minorHAnsi" w:hAnsiTheme="minorHAnsi" w:cstheme="minorHAnsi"/>
          <w:b w:val="0"/>
          <w:sz w:val="22"/>
          <w:szCs w:val="22"/>
        </w:rPr>
        <w:t xml:space="preserve">rapports de </w:t>
      </w:r>
      <w:r w:rsidR="00CD7251" w:rsidRPr="00534BA5">
        <w:rPr>
          <w:rFonts w:asciiTheme="minorHAnsi" w:hAnsiTheme="minorHAnsi" w:cstheme="minorHAnsi"/>
          <w:b w:val="0"/>
          <w:sz w:val="22"/>
          <w:szCs w:val="22"/>
        </w:rPr>
        <w:t>certification</w:t>
      </w:r>
      <w:r w:rsidRPr="00534BA5">
        <w:rPr>
          <w:rFonts w:asciiTheme="minorHAnsi" w:hAnsiTheme="minorHAnsi" w:cstheme="minorHAnsi"/>
          <w:b w:val="0"/>
          <w:sz w:val="22"/>
          <w:szCs w:val="22"/>
        </w:rPr>
        <w:t>;</w:t>
      </w:r>
    </w:p>
    <w:p w14:paraId="64FD94C4" w14:textId="77777777" w:rsidR="00F54807" w:rsidRPr="00BE5ED5" w:rsidRDefault="00F54807" w:rsidP="006D01B0">
      <w:pPr>
        <w:pStyle w:val="Conclusion"/>
        <w:numPr>
          <w:ilvl w:val="1"/>
          <w:numId w:val="7"/>
        </w:numPr>
        <w:spacing w:before="0" w:after="0"/>
        <w:jc w:val="both"/>
        <w:rPr>
          <w:rFonts w:asciiTheme="minorHAnsi" w:hAnsiTheme="minorHAnsi" w:cstheme="minorHAnsi"/>
          <w:b w:val="0"/>
          <w:sz w:val="22"/>
          <w:szCs w:val="22"/>
        </w:rPr>
      </w:pPr>
      <w:proofErr w:type="gramStart"/>
      <w:r w:rsidRPr="00BE5ED5">
        <w:rPr>
          <w:rFonts w:asciiTheme="minorHAnsi" w:hAnsiTheme="minorHAnsi" w:cstheme="minorHAnsi"/>
          <w:b w:val="0"/>
          <w:sz w:val="22"/>
          <w:szCs w:val="22"/>
        </w:rPr>
        <w:t>les</w:t>
      </w:r>
      <w:proofErr w:type="gramEnd"/>
      <w:r w:rsidRPr="00BE5ED5">
        <w:rPr>
          <w:rFonts w:asciiTheme="minorHAnsi" w:hAnsiTheme="minorHAnsi" w:cstheme="minorHAnsi"/>
          <w:b w:val="0"/>
          <w:sz w:val="22"/>
          <w:szCs w:val="22"/>
        </w:rPr>
        <w:t xml:space="preserve"> rapports d’activité et budgétaires annuels ;</w:t>
      </w:r>
    </w:p>
    <w:p w14:paraId="6F411252" w14:textId="77777777" w:rsidR="00F54807" w:rsidRPr="00BE5ED5" w:rsidRDefault="00F54807" w:rsidP="006D01B0">
      <w:pPr>
        <w:pStyle w:val="Conclusion"/>
        <w:numPr>
          <w:ilvl w:val="1"/>
          <w:numId w:val="7"/>
        </w:numPr>
        <w:spacing w:before="0" w:after="0"/>
        <w:jc w:val="both"/>
        <w:rPr>
          <w:rFonts w:asciiTheme="minorHAnsi" w:hAnsiTheme="minorHAnsi" w:cstheme="minorHAnsi"/>
          <w:b w:val="0"/>
          <w:sz w:val="22"/>
          <w:szCs w:val="22"/>
        </w:rPr>
      </w:pPr>
      <w:proofErr w:type="gramStart"/>
      <w:r w:rsidRPr="00BE5ED5">
        <w:rPr>
          <w:rFonts w:asciiTheme="minorHAnsi" w:hAnsiTheme="minorHAnsi" w:cstheme="minorHAnsi"/>
          <w:b w:val="0"/>
          <w:sz w:val="22"/>
          <w:szCs w:val="22"/>
        </w:rPr>
        <w:t>le</w:t>
      </w:r>
      <w:proofErr w:type="gramEnd"/>
      <w:r w:rsidRPr="00BE5ED5">
        <w:rPr>
          <w:rFonts w:asciiTheme="minorHAnsi" w:hAnsiTheme="minorHAnsi" w:cstheme="minorHAnsi"/>
          <w:b w:val="0"/>
          <w:sz w:val="22"/>
          <w:szCs w:val="22"/>
        </w:rPr>
        <w:t>(s) projet(s) de service ;</w:t>
      </w:r>
    </w:p>
    <w:p w14:paraId="2E68BBF1" w14:textId="02FED29D" w:rsidR="00F54807" w:rsidRDefault="00F54807" w:rsidP="006D01B0">
      <w:pPr>
        <w:pStyle w:val="Conclusion"/>
        <w:numPr>
          <w:ilvl w:val="1"/>
          <w:numId w:val="7"/>
        </w:numPr>
        <w:spacing w:before="0" w:after="0"/>
        <w:jc w:val="both"/>
        <w:rPr>
          <w:rFonts w:asciiTheme="minorHAnsi" w:hAnsiTheme="minorHAnsi" w:cstheme="minorHAnsi"/>
          <w:b w:val="0"/>
          <w:sz w:val="22"/>
          <w:szCs w:val="22"/>
        </w:rPr>
      </w:pPr>
      <w:proofErr w:type="gramStart"/>
      <w:r w:rsidRPr="00BE5ED5">
        <w:rPr>
          <w:rFonts w:asciiTheme="minorHAnsi" w:hAnsiTheme="minorHAnsi" w:cstheme="minorHAnsi"/>
          <w:b w:val="0"/>
          <w:sz w:val="22"/>
          <w:szCs w:val="22"/>
        </w:rPr>
        <w:t>les</w:t>
      </w:r>
      <w:proofErr w:type="gramEnd"/>
      <w:r w:rsidRPr="00BE5ED5">
        <w:rPr>
          <w:rFonts w:asciiTheme="minorHAnsi" w:hAnsiTheme="minorHAnsi" w:cstheme="minorHAnsi"/>
          <w:b w:val="0"/>
          <w:sz w:val="22"/>
          <w:szCs w:val="22"/>
        </w:rPr>
        <w:t xml:space="preserve"> éventuels rapports d’inspection et de contrôle.</w:t>
      </w:r>
    </w:p>
    <w:p w14:paraId="04E27E25" w14:textId="77777777" w:rsidR="00F54807" w:rsidRPr="00BE5ED5" w:rsidRDefault="00F54807" w:rsidP="006D01B0">
      <w:pPr>
        <w:pStyle w:val="Conclusion"/>
        <w:numPr>
          <w:ilvl w:val="0"/>
          <w:numId w:val="0"/>
        </w:numPr>
        <w:spacing w:before="0" w:after="0"/>
        <w:ind w:left="1440"/>
        <w:jc w:val="both"/>
        <w:rPr>
          <w:rFonts w:asciiTheme="minorHAnsi" w:hAnsiTheme="minorHAnsi" w:cstheme="minorHAnsi"/>
          <w:b w:val="0"/>
          <w:sz w:val="22"/>
          <w:szCs w:val="22"/>
        </w:rPr>
      </w:pPr>
    </w:p>
    <w:p w14:paraId="64C72BEF" w14:textId="77777777" w:rsidR="00632936" w:rsidRDefault="00632936" w:rsidP="00632936">
      <w:pPr>
        <w:pStyle w:val="Listepuce"/>
        <w:numPr>
          <w:ilvl w:val="0"/>
          <w:numId w:val="0"/>
        </w:numPr>
        <w:spacing w:before="0" w:after="0"/>
        <w:ind w:firstLine="708"/>
        <w:rPr>
          <w:rFonts w:asciiTheme="minorHAnsi" w:hAnsiTheme="minorHAnsi" w:cstheme="minorHAnsi"/>
          <w:b/>
          <w:color w:val="1F497D" w:themeColor="text2"/>
          <w:sz w:val="22"/>
          <w:szCs w:val="22"/>
        </w:rPr>
      </w:pPr>
      <w:r w:rsidRPr="00BE5ED5">
        <w:rPr>
          <w:rFonts w:asciiTheme="minorHAnsi" w:hAnsiTheme="minorHAnsi" w:cstheme="minorHAnsi"/>
          <w:b/>
          <w:color w:val="1F497D" w:themeColor="text2"/>
          <w:sz w:val="22"/>
          <w:szCs w:val="22"/>
        </w:rPr>
        <w:t>→</w:t>
      </w:r>
      <w:r w:rsidRPr="00BE5ED5">
        <w:rPr>
          <w:rFonts w:asciiTheme="minorHAnsi" w:hAnsiTheme="minorHAnsi" w:cstheme="minorHAnsi"/>
          <w:b/>
          <w:sz w:val="22"/>
          <w:szCs w:val="22"/>
        </w:rPr>
        <w:t xml:space="preserve"> </w:t>
      </w:r>
      <w:r w:rsidRPr="00BE5ED5">
        <w:rPr>
          <w:rFonts w:asciiTheme="minorHAnsi" w:hAnsiTheme="minorHAnsi" w:cstheme="minorHAnsi"/>
          <w:b/>
          <w:color w:val="1F497D" w:themeColor="text2"/>
          <w:sz w:val="22"/>
          <w:szCs w:val="22"/>
        </w:rPr>
        <w:t>Impliquer les salariés dans la réalisation du diagnostic</w:t>
      </w:r>
      <w:r>
        <w:rPr>
          <w:rFonts w:asciiTheme="minorHAnsi" w:hAnsiTheme="minorHAnsi" w:cstheme="minorHAnsi"/>
          <w:b/>
          <w:color w:val="1F497D" w:themeColor="text2"/>
          <w:sz w:val="22"/>
          <w:szCs w:val="22"/>
        </w:rPr>
        <w:t xml:space="preserve"> </w:t>
      </w:r>
      <w:r w:rsidRPr="00BE5ED5">
        <w:rPr>
          <w:rFonts w:asciiTheme="minorHAnsi" w:hAnsiTheme="minorHAnsi" w:cstheme="minorHAnsi"/>
          <w:sz w:val="22"/>
          <w:szCs w:val="22"/>
        </w:rPr>
        <w:t xml:space="preserve">et pas seulement sur les questions </w:t>
      </w:r>
      <w:r>
        <w:rPr>
          <w:rFonts w:asciiTheme="minorHAnsi" w:hAnsiTheme="minorHAnsi" w:cstheme="minorHAnsi"/>
          <w:sz w:val="22"/>
          <w:szCs w:val="22"/>
        </w:rPr>
        <w:t>relatives au ressources humaines</w:t>
      </w:r>
      <w:r w:rsidRPr="00BE5ED5">
        <w:rPr>
          <w:rFonts w:asciiTheme="minorHAnsi" w:hAnsiTheme="minorHAnsi" w:cstheme="minorHAnsi"/>
          <w:sz w:val="22"/>
          <w:szCs w:val="22"/>
        </w:rPr>
        <w:t xml:space="preserve"> ou </w:t>
      </w:r>
      <w:r>
        <w:rPr>
          <w:rFonts w:asciiTheme="minorHAnsi" w:hAnsiTheme="minorHAnsi" w:cstheme="minorHAnsi"/>
          <w:sz w:val="22"/>
          <w:szCs w:val="22"/>
        </w:rPr>
        <w:t>d’amélioration de la qualité de vie au travail, par exemple en organisant un groupe de travail.</w:t>
      </w:r>
      <w:r w:rsidRPr="00F54807">
        <w:rPr>
          <w:rFonts w:asciiTheme="minorHAnsi" w:hAnsiTheme="minorHAnsi" w:cstheme="minorHAnsi"/>
          <w:b/>
          <w:color w:val="1F497D" w:themeColor="text2"/>
          <w:sz w:val="22"/>
          <w:szCs w:val="22"/>
        </w:rPr>
        <w:t xml:space="preserve"> </w:t>
      </w:r>
    </w:p>
    <w:p w14:paraId="47ED6C34" w14:textId="77777777" w:rsidR="00632936" w:rsidRDefault="00632936" w:rsidP="00632936">
      <w:pPr>
        <w:pStyle w:val="Listepuce"/>
        <w:numPr>
          <w:ilvl w:val="0"/>
          <w:numId w:val="0"/>
        </w:numPr>
        <w:spacing w:before="0" w:after="0"/>
        <w:rPr>
          <w:rFonts w:asciiTheme="minorHAnsi" w:hAnsiTheme="minorHAnsi" w:cstheme="minorHAnsi"/>
          <w:b/>
          <w:color w:val="1F497D" w:themeColor="text2"/>
          <w:sz w:val="22"/>
          <w:szCs w:val="22"/>
        </w:rPr>
      </w:pPr>
    </w:p>
    <w:p w14:paraId="2DC7D3F0" w14:textId="37E34D49" w:rsidR="00632936" w:rsidRDefault="00632936" w:rsidP="00632936">
      <w:pPr>
        <w:pStyle w:val="Listepuce"/>
        <w:numPr>
          <w:ilvl w:val="0"/>
          <w:numId w:val="0"/>
        </w:numPr>
        <w:spacing w:before="0" w:after="0"/>
        <w:ind w:firstLine="708"/>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Associer, dans la mesure du possible, les personnes accompagnées.</w:t>
      </w:r>
    </w:p>
    <w:p w14:paraId="533393D9" w14:textId="77777777" w:rsidR="00632936" w:rsidRPr="00BE5ED5" w:rsidRDefault="00632936" w:rsidP="00632936">
      <w:pPr>
        <w:pStyle w:val="Listepuce"/>
        <w:numPr>
          <w:ilvl w:val="0"/>
          <w:numId w:val="0"/>
        </w:numPr>
        <w:spacing w:before="0" w:after="0"/>
        <w:ind w:firstLine="708"/>
        <w:rPr>
          <w:rFonts w:asciiTheme="minorHAnsi" w:hAnsiTheme="minorHAnsi" w:cstheme="minorHAnsi"/>
          <w:sz w:val="22"/>
          <w:szCs w:val="22"/>
        </w:rPr>
      </w:pPr>
    </w:p>
    <w:p w14:paraId="6439750A" w14:textId="4DD7F02D" w:rsidR="00BE5ED5" w:rsidRDefault="00BE5ED5" w:rsidP="006D01B0">
      <w:pPr>
        <w:pStyle w:val="Listepuce"/>
        <w:numPr>
          <w:ilvl w:val="0"/>
          <w:numId w:val="0"/>
        </w:numPr>
        <w:spacing w:before="0" w:after="0"/>
        <w:ind w:firstLine="708"/>
        <w:rPr>
          <w:rFonts w:asciiTheme="minorHAnsi" w:hAnsiTheme="minorHAnsi" w:cstheme="minorHAnsi"/>
          <w:sz w:val="22"/>
          <w:szCs w:val="22"/>
        </w:rPr>
      </w:pPr>
      <w:r w:rsidRPr="00BE5ED5">
        <w:rPr>
          <w:rFonts w:asciiTheme="minorHAnsi" w:hAnsiTheme="minorHAnsi" w:cstheme="minorHAnsi"/>
          <w:b/>
          <w:color w:val="1F497D" w:themeColor="text2"/>
          <w:sz w:val="22"/>
          <w:szCs w:val="22"/>
        </w:rPr>
        <w:t>→</w:t>
      </w:r>
      <w:r>
        <w:rPr>
          <w:rFonts w:asciiTheme="minorHAnsi" w:hAnsiTheme="minorHAnsi" w:cstheme="minorHAnsi"/>
          <w:sz w:val="22"/>
          <w:szCs w:val="22"/>
        </w:rPr>
        <w:t xml:space="preserve"> </w:t>
      </w:r>
      <w:r w:rsidRPr="00BE5ED5">
        <w:rPr>
          <w:rFonts w:asciiTheme="minorHAnsi" w:hAnsiTheme="minorHAnsi" w:cstheme="minorHAnsi"/>
          <w:b/>
          <w:color w:val="1F497D" w:themeColor="text2"/>
          <w:sz w:val="22"/>
          <w:szCs w:val="22"/>
        </w:rPr>
        <w:t>Prévoir une ou plusieurs réunions pour discuter et valider le diagnostic partagé</w:t>
      </w:r>
      <w:r w:rsidRPr="00BE5ED5">
        <w:rPr>
          <w:rFonts w:asciiTheme="minorHAnsi" w:hAnsiTheme="minorHAnsi" w:cstheme="minorHAnsi"/>
          <w:sz w:val="22"/>
          <w:szCs w:val="22"/>
        </w:rPr>
        <w:t>, avec relevé de décision rédigé par l</w:t>
      </w:r>
      <w:r w:rsidR="00350050">
        <w:rPr>
          <w:rFonts w:asciiTheme="minorHAnsi" w:hAnsiTheme="minorHAnsi" w:cstheme="minorHAnsi"/>
          <w:sz w:val="22"/>
          <w:szCs w:val="22"/>
        </w:rPr>
        <w:t>e conseil départemental</w:t>
      </w:r>
      <w:r w:rsidRPr="00BE5ED5">
        <w:rPr>
          <w:rFonts w:asciiTheme="minorHAnsi" w:hAnsiTheme="minorHAnsi" w:cstheme="minorHAnsi"/>
          <w:sz w:val="22"/>
          <w:szCs w:val="22"/>
        </w:rPr>
        <w:t xml:space="preserve"> ou l’organisme gestionnaire (à tour de rôle</w:t>
      </w:r>
      <w:r w:rsidR="00350050">
        <w:rPr>
          <w:rFonts w:asciiTheme="minorHAnsi" w:hAnsiTheme="minorHAnsi" w:cstheme="minorHAnsi"/>
          <w:sz w:val="22"/>
          <w:szCs w:val="22"/>
        </w:rPr>
        <w:t xml:space="preserve"> par exemple) et validé par les deux parties</w:t>
      </w:r>
      <w:r w:rsidRPr="00BE5ED5">
        <w:rPr>
          <w:rFonts w:asciiTheme="minorHAnsi" w:hAnsiTheme="minorHAnsi" w:cstheme="minorHAnsi"/>
          <w:sz w:val="22"/>
          <w:szCs w:val="22"/>
        </w:rPr>
        <w:t>.</w:t>
      </w:r>
    </w:p>
    <w:p w14:paraId="10FC34E9" w14:textId="3659977F" w:rsidR="00347578" w:rsidRPr="00BE5ED5" w:rsidRDefault="00347578" w:rsidP="006D01B0">
      <w:pPr>
        <w:spacing w:after="0"/>
        <w:jc w:val="both"/>
        <w:rPr>
          <w:rFonts w:cstheme="minorHAnsi"/>
        </w:rPr>
      </w:pPr>
    </w:p>
    <w:p w14:paraId="5C6CBAA5" w14:textId="77777777" w:rsidR="004A5177" w:rsidRDefault="00347578" w:rsidP="004A5177">
      <w:pPr>
        <w:jc w:val="both"/>
      </w:pPr>
      <w:r w:rsidRPr="006D01B0">
        <w:t>Le diagnostic</w:t>
      </w:r>
      <w:r w:rsidRPr="007F386D">
        <w:rPr>
          <w:b/>
        </w:rPr>
        <w:t xml:space="preserve"> </w:t>
      </w:r>
      <w:r w:rsidRPr="00A2689A">
        <w:t xml:space="preserve">doit établir une </w:t>
      </w:r>
      <w:r w:rsidRPr="006D01B0">
        <w:rPr>
          <w:b/>
        </w:rPr>
        <w:t>vision partagée des forces et faiblesses du/des service(s)</w:t>
      </w:r>
      <w:r w:rsidRPr="00A2689A">
        <w:t xml:space="preserve"> en vue de la </w:t>
      </w:r>
      <w:r w:rsidR="000729E0">
        <w:t>fixation</w:t>
      </w:r>
      <w:r w:rsidRPr="00A2689A">
        <w:t xml:space="preserve"> des objectifs et des moyens </w:t>
      </w:r>
      <w:r w:rsidR="000729E0">
        <w:t>prévus</w:t>
      </w:r>
      <w:r w:rsidRPr="00A2689A">
        <w:t xml:space="preserve"> par le contrat.</w:t>
      </w:r>
    </w:p>
    <w:p w14:paraId="30250537" w14:textId="77777777" w:rsidR="004A5177" w:rsidRDefault="004A5177" w:rsidP="004A5177">
      <w:pPr>
        <w:jc w:val="both"/>
        <w:rPr>
          <w:b/>
        </w:rPr>
      </w:pPr>
    </w:p>
    <w:p w14:paraId="45F19F1E" w14:textId="7CF3CDA4" w:rsidR="004A5177" w:rsidRPr="004A5177" w:rsidRDefault="004A5177" w:rsidP="004A5177">
      <w:pPr>
        <w:jc w:val="both"/>
        <w:rPr>
          <w:b/>
        </w:rPr>
      </w:pPr>
      <w:r w:rsidRPr="004A5177">
        <w:rPr>
          <w:b/>
        </w:rPr>
        <w:t>2-2 Le contenu du diagnostic</w:t>
      </w:r>
    </w:p>
    <w:p w14:paraId="3C231310" w14:textId="71CBEEDB" w:rsidR="00F54807" w:rsidRDefault="004A5177" w:rsidP="006D01B0">
      <w:pPr>
        <w:jc w:val="both"/>
      </w:pPr>
      <w:r>
        <w:t>Il est recommandé de rédiger une</w:t>
      </w:r>
      <w:r w:rsidRPr="004A5177">
        <w:t xml:space="preserve"> synthèse du diagnostic partagé</w:t>
      </w:r>
      <w:r>
        <w:t>, qui</w:t>
      </w:r>
      <w:r w:rsidRPr="004A5177">
        <w:t xml:space="preserve"> explique les modalités de réalisation du diagnostic partagé (documents consultés, participation des personnels…) et ses principaux enseignements. </w:t>
      </w:r>
    </w:p>
    <w:p w14:paraId="232E9A16" w14:textId="03F92696" w:rsidR="004A5177" w:rsidRDefault="004A5177" w:rsidP="006D01B0">
      <w:pPr>
        <w:jc w:val="both"/>
      </w:pPr>
      <w:r>
        <w:t>De plus, deux types de documents y seront utilement joints :</w:t>
      </w:r>
    </w:p>
    <w:p w14:paraId="22A4A3BB" w14:textId="21243371" w:rsidR="00347578" w:rsidRDefault="00F54807" w:rsidP="004A5177">
      <w:pPr>
        <w:pStyle w:val="Paragraphedeliste"/>
        <w:numPr>
          <w:ilvl w:val="0"/>
          <w:numId w:val="17"/>
        </w:numPr>
        <w:jc w:val="both"/>
      </w:pPr>
      <w:r>
        <w:rPr>
          <w:u w:val="single"/>
        </w:rPr>
        <w:t>Une f</w:t>
      </w:r>
      <w:r w:rsidR="00347578" w:rsidRPr="00474AEA">
        <w:rPr>
          <w:u w:val="single"/>
        </w:rPr>
        <w:t>iche d’identité du service</w:t>
      </w:r>
      <w:r w:rsidR="004A5177">
        <w:t xml:space="preserve"> (qui</w:t>
      </w:r>
      <w:r w:rsidR="004A5177" w:rsidRPr="004A5177">
        <w:t xml:space="preserve"> peut, au choix, être intégrée à l’art</w:t>
      </w:r>
      <w:r w:rsidR="004A5177">
        <w:t>icle 1 du CPOM, qui porte sur son</w:t>
      </w:r>
      <w:r w:rsidR="004A5177" w:rsidRPr="004A5177">
        <w:t xml:space="preserve"> périmètre, ou au diagnostic partagé</w:t>
      </w:r>
      <w:r w:rsidR="004A5177">
        <w:t>)</w:t>
      </w:r>
      <w:r w:rsidR="004A5177" w:rsidRPr="004A5177">
        <w:t>.</w:t>
      </w:r>
    </w:p>
    <w:p w14:paraId="442CAD06" w14:textId="77777777" w:rsidR="004A5177" w:rsidRDefault="004A5177" w:rsidP="006D01B0">
      <w:pPr>
        <w:pStyle w:val="Paragraphedeliste"/>
        <w:ind w:left="0"/>
        <w:jc w:val="both"/>
      </w:pPr>
    </w:p>
    <w:p w14:paraId="62A6A80A" w14:textId="6766DB0E" w:rsidR="00347578" w:rsidRDefault="004668F1" w:rsidP="004A5177">
      <w:pPr>
        <w:pStyle w:val="Paragraphedeliste"/>
        <w:ind w:left="0"/>
        <w:jc w:val="both"/>
      </w:pPr>
      <w:r>
        <w:t>Il s’agit de f</w:t>
      </w:r>
      <w:r w:rsidR="00347578">
        <w:t>air</w:t>
      </w:r>
      <w:r w:rsidR="00C620E1">
        <w:t>e un focus sur l’activité du service</w:t>
      </w:r>
      <w:r w:rsidR="00347578">
        <w:t> : l</w:t>
      </w:r>
      <w:r w:rsidR="00347578" w:rsidRPr="007F386D">
        <w:t xml:space="preserve">a présentation de l’activité permet d’identifier l’activité de référence à partir de laquelle les engagements </w:t>
      </w:r>
      <w:r>
        <w:t>de l’organisme gestionnaire</w:t>
      </w:r>
      <w:r w:rsidR="00347578" w:rsidRPr="007F386D">
        <w:t xml:space="preserve"> pourront être négociés.</w:t>
      </w:r>
      <w:r w:rsidR="00350050">
        <w:t xml:space="preserve"> En cas de CPOM multi-services</w:t>
      </w:r>
      <w:r w:rsidR="0087744B">
        <w:t>, il conviendra de réaliser une fiche par service.</w:t>
      </w:r>
      <w:r w:rsidR="005C079D">
        <w:t xml:space="preserve"> </w:t>
      </w:r>
    </w:p>
    <w:p w14:paraId="5208CC3E" w14:textId="77777777" w:rsidR="004A5177" w:rsidRDefault="004A5177" w:rsidP="004A5177">
      <w:pPr>
        <w:pStyle w:val="Paragraphedeliste"/>
        <w:ind w:left="0"/>
        <w:jc w:val="both"/>
      </w:pPr>
    </w:p>
    <w:p w14:paraId="0F4F558D" w14:textId="3991CE13" w:rsidR="000A1D22" w:rsidRDefault="00F54807" w:rsidP="006D01B0">
      <w:pPr>
        <w:pStyle w:val="Paragraphedeliste"/>
        <w:numPr>
          <w:ilvl w:val="0"/>
          <w:numId w:val="8"/>
        </w:numPr>
        <w:jc w:val="both"/>
      </w:pPr>
      <w:r>
        <w:rPr>
          <w:u w:val="single"/>
        </w:rPr>
        <w:t>Un t</w:t>
      </w:r>
      <w:r w:rsidR="00347578">
        <w:rPr>
          <w:u w:val="single"/>
        </w:rPr>
        <w:t xml:space="preserve">ableau </w:t>
      </w:r>
      <w:r w:rsidR="00347578" w:rsidRPr="00474AEA">
        <w:rPr>
          <w:u w:val="single"/>
        </w:rPr>
        <w:t>des points forts et des axes d’amélioration</w:t>
      </w:r>
      <w:r w:rsidR="00347578">
        <w:t xml:space="preserve"> (</w:t>
      </w:r>
      <w:r w:rsidR="00347578" w:rsidRPr="000A1D22">
        <w:t>éléments quantitatifs et qualitatifs,</w:t>
      </w:r>
      <w:r w:rsidR="00347578" w:rsidRPr="00474AEA">
        <w:t xml:space="preserve"> avec une colonne par service</w:t>
      </w:r>
      <w:r w:rsidR="004668F1">
        <w:t xml:space="preserve"> en cas de CPOM multi-service</w:t>
      </w:r>
      <w:r w:rsidR="0087744B">
        <w:t>s</w:t>
      </w:r>
      <w:r w:rsidR="000A1D22">
        <w:t>).</w:t>
      </w:r>
    </w:p>
    <w:p w14:paraId="2E8982AB" w14:textId="3479DB08" w:rsidR="00347578" w:rsidRDefault="000A1D22" w:rsidP="000A1D22">
      <w:pPr>
        <w:jc w:val="both"/>
      </w:pPr>
      <w:r>
        <w:t>Ce tableau</w:t>
      </w:r>
      <w:r w:rsidR="007B6121">
        <w:t>, qui sera intégré au diagnostic partagé,</w:t>
      </w:r>
      <w:r>
        <w:t xml:space="preserve"> pourra </w:t>
      </w:r>
      <w:r w:rsidR="004668F1">
        <w:t xml:space="preserve">notamment </w:t>
      </w:r>
      <w:r w:rsidR="00BA3ABB">
        <w:t>traiter</w:t>
      </w:r>
      <w:r>
        <w:t xml:space="preserve"> les points suivants </w:t>
      </w:r>
      <w:r w:rsidR="00347578">
        <w:t>:</w:t>
      </w:r>
    </w:p>
    <w:p w14:paraId="6C669756" w14:textId="54B4C9BF" w:rsidR="00347578" w:rsidRDefault="00347578" w:rsidP="006D01B0">
      <w:pPr>
        <w:pStyle w:val="Paragraphedeliste"/>
        <w:ind w:left="0"/>
        <w:jc w:val="both"/>
      </w:pPr>
      <w:r>
        <w:t>- l’activité des st</w:t>
      </w:r>
      <w:r w:rsidR="004668F1">
        <w:t>ructures, la capacité de répondre</w:t>
      </w:r>
      <w:r>
        <w:t xml:space="preserve"> aux besoins/à la demande</w:t>
      </w:r>
      <w:r w:rsidR="00C620E1">
        <w:t>. Ces données ne doivent concernées que celles directement liées aux prestations pour lesquelles les services sont financés par le conseil départemental et effectuées selon le mode prestataire</w:t>
      </w:r>
      <w:r w:rsidR="004668F1">
        <w:t> ;</w:t>
      </w:r>
    </w:p>
    <w:p w14:paraId="4ACC74CA" w14:textId="3694AC4A" w:rsidR="00347578" w:rsidRDefault="00347578" w:rsidP="006D01B0">
      <w:pPr>
        <w:pStyle w:val="Paragraphedeliste"/>
        <w:ind w:left="0"/>
        <w:jc w:val="both"/>
      </w:pPr>
      <w:r>
        <w:t>- les modalités d’intervention et la qualité de la prise en charge des personnes accompagnées</w:t>
      </w:r>
      <w:r w:rsidR="00BA3ABB">
        <w:t xml:space="preserve"> et</w:t>
      </w:r>
      <w:r w:rsidR="004668F1">
        <w:t> </w:t>
      </w:r>
      <w:r w:rsidR="00BA3ABB">
        <w:t>la personnalisation de l’accompagnement ;</w:t>
      </w:r>
    </w:p>
    <w:p w14:paraId="20A941F3" w14:textId="190008BE" w:rsidR="00347578" w:rsidRDefault="00347578" w:rsidP="006D01B0">
      <w:pPr>
        <w:pStyle w:val="Paragraphedeliste"/>
        <w:ind w:left="0"/>
        <w:jc w:val="both"/>
      </w:pPr>
      <w:r>
        <w:t>- la participation du/des services en matière de prévention de la perte d’autonomie</w:t>
      </w:r>
      <w:r w:rsidR="004668F1">
        <w:t> ;</w:t>
      </w:r>
    </w:p>
    <w:p w14:paraId="1853D595" w14:textId="5C96FB64" w:rsidR="00347578" w:rsidRDefault="004668F1" w:rsidP="006D01B0">
      <w:pPr>
        <w:pStyle w:val="Paragraphedeliste"/>
        <w:ind w:left="0"/>
        <w:jc w:val="both"/>
      </w:pPr>
      <w:r>
        <w:t>- l’intégration</w:t>
      </w:r>
      <w:r w:rsidR="00347578">
        <w:t xml:space="preserve"> </w:t>
      </w:r>
      <w:r w:rsidR="00350050">
        <w:t>du/</w:t>
      </w:r>
      <w:r w:rsidR="00347578">
        <w:t>des services au sein du territoire (partenariats, coopérations) dans une logique de parcours</w:t>
      </w:r>
      <w:r>
        <w:t xml:space="preserve"> des personnes accompagnées ;</w:t>
      </w:r>
    </w:p>
    <w:p w14:paraId="6335617C" w14:textId="5BCD0C0A" w:rsidR="00347578" w:rsidRDefault="00347578" w:rsidP="006D01B0">
      <w:pPr>
        <w:pStyle w:val="Paragraphedeliste"/>
        <w:ind w:left="0"/>
        <w:jc w:val="both"/>
      </w:pPr>
      <w:r>
        <w:t xml:space="preserve">- </w:t>
      </w:r>
      <w:r w:rsidRPr="00D240DC">
        <w:rPr>
          <w:b/>
        </w:rPr>
        <w:t>la thématique pour laquelle le service a été retenu dans le cadre de l’AAC pour le bénéfice de la dotation complémentaire</w:t>
      </w:r>
      <w:r>
        <w:rPr>
          <w:b/>
        </w:rPr>
        <w:t xml:space="preserve"> </w:t>
      </w:r>
      <w:r w:rsidRPr="0004382F">
        <w:t>(prise en charge spécifique</w:t>
      </w:r>
      <w:r>
        <w:t xml:space="preserve"> de certains publics, horaires d’intervention, couverture territoriale, </w:t>
      </w:r>
      <w:r w:rsidRPr="0004382F">
        <w:t xml:space="preserve">lutte contre l’isolement des personnes accompagnées, soutien aux aidants, </w:t>
      </w:r>
      <w:r w:rsidR="004668F1">
        <w:t xml:space="preserve">amélioration de la </w:t>
      </w:r>
      <w:r>
        <w:t>qualité de vie au travail)</w:t>
      </w:r>
      <w:r w:rsidR="004668F1">
        <w:t> ;</w:t>
      </w:r>
    </w:p>
    <w:p w14:paraId="3CDADDBB" w14:textId="77777777" w:rsidR="004668F1" w:rsidRDefault="00347578" w:rsidP="006D01B0">
      <w:pPr>
        <w:pStyle w:val="Paragraphedeliste"/>
        <w:ind w:left="0"/>
        <w:jc w:val="both"/>
      </w:pPr>
      <w:r>
        <w:t xml:space="preserve">- les moyens de fonctionnement : </w:t>
      </w:r>
    </w:p>
    <w:p w14:paraId="7C1F27D8" w14:textId="759D0E65" w:rsidR="004668F1" w:rsidRDefault="00347578" w:rsidP="004668F1">
      <w:pPr>
        <w:pStyle w:val="Paragraphedeliste"/>
        <w:numPr>
          <w:ilvl w:val="0"/>
          <w:numId w:val="12"/>
        </w:numPr>
        <w:jc w:val="both"/>
      </w:pPr>
      <w:proofErr w:type="gramStart"/>
      <w:r>
        <w:t>ressources</w:t>
      </w:r>
      <w:proofErr w:type="gramEnd"/>
      <w:r>
        <w:t xml:space="preserve"> humaines </w:t>
      </w:r>
      <w:r w:rsidR="004668F1">
        <w:t xml:space="preserve">dont politique de recrutement, politique de prévention et de gestion des risques et </w:t>
      </w:r>
      <w:r w:rsidR="004668F1" w:rsidRPr="004668F1">
        <w:t>qualité de vie au travail</w:t>
      </w:r>
      <w:r w:rsidR="00350050">
        <w:t> ;</w:t>
      </w:r>
    </w:p>
    <w:p w14:paraId="058B587B" w14:textId="3117A471" w:rsidR="00632936" w:rsidRDefault="00347578" w:rsidP="00632936">
      <w:pPr>
        <w:pStyle w:val="Paragraphedeliste"/>
        <w:numPr>
          <w:ilvl w:val="0"/>
          <w:numId w:val="12"/>
        </w:numPr>
        <w:jc w:val="both"/>
      </w:pPr>
      <w:proofErr w:type="gramStart"/>
      <w:r>
        <w:t>situation</w:t>
      </w:r>
      <w:proofErr w:type="gramEnd"/>
      <w:r>
        <w:t xml:space="preserve"> financière, systèmes d’information (dont télégestion), éventuellement patrimoine</w:t>
      </w:r>
      <w:r w:rsidR="00350050">
        <w:t xml:space="preserve"> </w:t>
      </w:r>
      <w:r>
        <w:t xml:space="preserve"> et les investissements</w:t>
      </w:r>
      <w:r w:rsidR="004668F1">
        <w:t>.</w:t>
      </w:r>
    </w:p>
    <w:p w14:paraId="05D251DE" w14:textId="586CDD12" w:rsidR="00632936" w:rsidRPr="00632936" w:rsidRDefault="00347578" w:rsidP="00632936">
      <w:pPr>
        <w:jc w:val="both"/>
      </w:pPr>
      <w:r>
        <w:t>L</w:t>
      </w:r>
      <w:r w:rsidRPr="00C23DEA">
        <w:t xml:space="preserve">es services </w:t>
      </w:r>
      <w:r>
        <w:t>du département</w:t>
      </w:r>
      <w:r w:rsidRPr="00C23DEA">
        <w:t xml:space="preserve"> peuvent proposer une trame commune </w:t>
      </w:r>
      <w:r w:rsidR="00632936">
        <w:t xml:space="preserve">de diagnostic partagé </w:t>
      </w:r>
      <w:r w:rsidRPr="00C23DEA">
        <w:t xml:space="preserve">pour </w:t>
      </w:r>
      <w:r w:rsidR="00632936">
        <w:t>l’ensemble des</w:t>
      </w:r>
      <w:r w:rsidRPr="00C23DEA">
        <w:t xml:space="preserve"> organismes gestionnaires (sans qu’elle puisse être imposée aux organismes gestionnaires). Cette trame peut être pré-remplie par </w:t>
      </w:r>
      <w:r w:rsidR="00A14DB7">
        <w:t>le conseil départemental</w:t>
      </w:r>
      <w:r w:rsidRPr="00C23DEA">
        <w:t xml:space="preserve"> pour les données concernant le territoire</w:t>
      </w:r>
      <w:r w:rsidR="00A14DB7">
        <w:t xml:space="preserve"> et le service à partir des données dont elle dispose déjà</w:t>
      </w:r>
      <w:r>
        <w:t>.</w:t>
      </w:r>
      <w:r w:rsidR="00632936" w:rsidRPr="00632936">
        <w:t xml:space="preserve"> </w:t>
      </w:r>
    </w:p>
    <w:p w14:paraId="2858D4DE" w14:textId="6526F155" w:rsidR="00632936" w:rsidRDefault="00632936" w:rsidP="00632936">
      <w:pPr>
        <w:ind w:firstLine="708"/>
        <w:jc w:val="both"/>
        <w:rPr>
          <w:b/>
          <w:color w:val="1F497D" w:themeColor="text2"/>
        </w:rPr>
      </w:pPr>
      <w:r w:rsidRPr="00F54807">
        <w:rPr>
          <w:rFonts w:cstheme="minorHAnsi"/>
          <w:b/>
          <w:color w:val="1F497D" w:themeColor="text2"/>
        </w:rPr>
        <w:t>→</w:t>
      </w:r>
      <w:r w:rsidRPr="00F54807">
        <w:rPr>
          <w:b/>
          <w:color w:val="1F497D" w:themeColor="text2"/>
        </w:rPr>
        <w:t xml:space="preserve"> </w:t>
      </w:r>
      <w:r>
        <w:rPr>
          <w:b/>
          <w:color w:val="1F497D" w:themeColor="text2"/>
        </w:rPr>
        <w:t>Faculté</w:t>
      </w:r>
      <w:r w:rsidRPr="00F54807">
        <w:rPr>
          <w:b/>
          <w:color w:val="1F497D" w:themeColor="text2"/>
        </w:rPr>
        <w:t xml:space="preserve"> d’utiliser une grille</w:t>
      </w:r>
      <w:r w:rsidR="00350050">
        <w:rPr>
          <w:b/>
          <w:color w:val="1F497D" w:themeColor="text2"/>
        </w:rPr>
        <w:t xml:space="preserve"> ou une trame</w:t>
      </w:r>
      <w:r w:rsidRPr="00F54807">
        <w:rPr>
          <w:b/>
          <w:color w:val="1F497D" w:themeColor="text2"/>
        </w:rPr>
        <w:t xml:space="preserve"> de diagnostic </w:t>
      </w:r>
      <w:r>
        <w:rPr>
          <w:b/>
          <w:color w:val="1F497D" w:themeColor="text2"/>
        </w:rPr>
        <w:t xml:space="preserve">partagé </w:t>
      </w:r>
      <w:r w:rsidRPr="00F54807">
        <w:rPr>
          <w:b/>
          <w:color w:val="1F497D" w:themeColor="text2"/>
        </w:rPr>
        <w:t>commune à t</w:t>
      </w:r>
      <w:r>
        <w:rPr>
          <w:b/>
          <w:color w:val="1F497D" w:themeColor="text2"/>
        </w:rPr>
        <w:t>ous les CPOM (proposée par le conseil départemental</w:t>
      </w:r>
      <w:r w:rsidRPr="00F54807">
        <w:rPr>
          <w:b/>
          <w:color w:val="1F497D" w:themeColor="text2"/>
        </w:rPr>
        <w:t>) mais à adapter si nécessaire</w:t>
      </w:r>
    </w:p>
    <w:p w14:paraId="3ED382ED" w14:textId="77777777" w:rsidR="00E936E9" w:rsidRDefault="00E936E9" w:rsidP="00632936">
      <w:pPr>
        <w:ind w:firstLine="708"/>
        <w:jc w:val="both"/>
      </w:pPr>
    </w:p>
    <w:p w14:paraId="332756CB" w14:textId="25D9DD3E" w:rsidR="003C77B9" w:rsidRPr="006D01B0" w:rsidRDefault="003C77B9" w:rsidP="006D01B0">
      <w:pPr>
        <w:pStyle w:val="Paragraphedeliste"/>
        <w:numPr>
          <w:ilvl w:val="0"/>
          <w:numId w:val="4"/>
        </w:numPr>
        <w:jc w:val="both"/>
        <w:rPr>
          <w:b/>
          <w:sz w:val="24"/>
        </w:rPr>
      </w:pPr>
      <w:r w:rsidRPr="006D01B0">
        <w:rPr>
          <w:b/>
          <w:sz w:val="24"/>
        </w:rPr>
        <w:t xml:space="preserve">La </w:t>
      </w:r>
      <w:r w:rsidR="00A14DB7">
        <w:rPr>
          <w:b/>
          <w:sz w:val="24"/>
        </w:rPr>
        <w:t>durée du contrat</w:t>
      </w:r>
      <w:r w:rsidRPr="006D01B0">
        <w:rPr>
          <w:b/>
          <w:sz w:val="24"/>
        </w:rPr>
        <w:t xml:space="preserve"> </w:t>
      </w:r>
    </w:p>
    <w:p w14:paraId="38D20770" w14:textId="43B43A5A" w:rsidR="00A14DB7" w:rsidRDefault="00A14DB7" w:rsidP="00A14DB7">
      <w:pPr>
        <w:jc w:val="both"/>
      </w:pPr>
      <w:r>
        <w:t xml:space="preserve">La durée maximale des CPOM autorisée par la loi est de cinq ans, prorogeable dans la limite d’une sixième année. </w:t>
      </w:r>
    </w:p>
    <w:p w14:paraId="6C742189" w14:textId="77777777" w:rsidR="00A14DB7" w:rsidRDefault="00A14DB7" w:rsidP="00A14DB7">
      <w:pPr>
        <w:jc w:val="both"/>
      </w:pPr>
      <w:r>
        <w:t xml:space="preserve">Par définition, leur durée minimale d’un CPOM est d’au moins de deux ans. Cette durée est à mettre en regard des objectifs fixés dans le contrat.  Il est recommandé de conclure le contrat pour une durée d’au moins trois ans. </w:t>
      </w:r>
    </w:p>
    <w:p w14:paraId="3E377A68" w14:textId="77777777" w:rsidR="00A14DB7" w:rsidRDefault="00A14DB7" w:rsidP="00A14DB7">
      <w:pPr>
        <w:jc w:val="both"/>
      </w:pPr>
      <w:r>
        <w:t>En effet, trois ans est une durée minimale pour permettre aux actions prévues par le contrat d’être mises en œuvre dans un cadre réellement pluriannuel. De plus, cette durée garantit aux organismes gestionnaires une visibilité et une sécurité financière dans le temps. Enfin, le renouvellement de CPOM est chronophage et une courte durée courte du contrat entraînerait des contraintes organisationnelles supplémentaires pour les deux parties.</w:t>
      </w:r>
    </w:p>
    <w:p w14:paraId="1A8C00A9" w14:textId="6CFAB73C" w:rsidR="00A14DB7" w:rsidRDefault="00A14DB7" w:rsidP="00A14DB7">
      <w:pPr>
        <w:jc w:val="both"/>
      </w:pPr>
      <w:r>
        <w:t>Il est possible de proroger le contrat, d’un commun accord entre les parties et dans la limite maximale de 6 ans (article L.313-11 du CASF). La prorogation de contrat correspond à l'allongement conventionnel de sa durée. La prorogation doit être prévue par avenant, lequel détermine la nouvelle échéance du contrat. Par exemple, les parties peuvent convenir de proroger de deux ans un CPOM qui avait une durée initiale de 4 ans.</w:t>
      </w:r>
      <w:r w:rsidR="001362C1">
        <w:t xml:space="preserve"> </w:t>
      </w:r>
    </w:p>
    <w:p w14:paraId="695468BD" w14:textId="77777777" w:rsidR="004D0391" w:rsidRPr="004B72FF" w:rsidRDefault="004D0391" w:rsidP="00A14DB7">
      <w:pPr>
        <w:jc w:val="both"/>
      </w:pPr>
    </w:p>
    <w:p w14:paraId="7680CD8C" w14:textId="77777777" w:rsidR="00A14DB7" w:rsidRPr="00EC0F74" w:rsidRDefault="00A14DB7" w:rsidP="00217D5A">
      <w:pPr>
        <w:pStyle w:val="Paragraphedeliste"/>
        <w:numPr>
          <w:ilvl w:val="0"/>
          <w:numId w:val="4"/>
        </w:numPr>
        <w:jc w:val="both"/>
        <w:rPr>
          <w:b/>
          <w:sz w:val="24"/>
        </w:rPr>
      </w:pPr>
      <w:r w:rsidRPr="00EC0F74">
        <w:rPr>
          <w:b/>
          <w:sz w:val="24"/>
        </w:rPr>
        <w:t>La fixation des objectifs du contrat</w:t>
      </w:r>
    </w:p>
    <w:p w14:paraId="56F3D25D" w14:textId="7BA3E9CD" w:rsidR="00EC0F74" w:rsidRPr="00EC0F74" w:rsidRDefault="00EC0F74" w:rsidP="00A14DB7">
      <w:pPr>
        <w:jc w:val="both"/>
        <w:rPr>
          <w:b/>
        </w:rPr>
      </w:pPr>
      <w:r w:rsidRPr="00EC0F74">
        <w:rPr>
          <w:b/>
        </w:rPr>
        <w:t>4-1 Les objectifs</w:t>
      </w:r>
    </w:p>
    <w:p w14:paraId="1786464F" w14:textId="1C3FCEF8" w:rsidR="00217D5A" w:rsidRPr="00A14DB7" w:rsidRDefault="00217D5A" w:rsidP="00A14DB7">
      <w:pPr>
        <w:jc w:val="both"/>
        <w:rPr>
          <w:b/>
        </w:rPr>
      </w:pPr>
      <w:r w:rsidRPr="00217D5A">
        <w:t>Les objectifs doivent être individualisés (par service et communs aux services en cas de contrat multi-services).</w:t>
      </w:r>
      <w:r w:rsidRPr="00A14DB7">
        <w:rPr>
          <w:b/>
        </w:rPr>
        <w:t xml:space="preserve"> Ils doivent s’appuyer sur les différents constats réalisés dans le cadre du diagnostic partagé. </w:t>
      </w:r>
    </w:p>
    <w:p w14:paraId="58F6008B" w14:textId="3ABFE146" w:rsidR="00BE61A4" w:rsidRPr="00BE61A4" w:rsidRDefault="00BE61A4" w:rsidP="00217D5A">
      <w:pPr>
        <w:jc w:val="both"/>
      </w:pPr>
      <w:r w:rsidRPr="00BE61A4">
        <w:t>Le nombre et la nature des objectifs doivent être conformes à une évaluation réaliste de la capacité du gestionnaire à mettre en œuvre l'ensemble des actions nécessaires à leur atteinte, et en rapport avec les moyens dédiés à la réalisation du CPOM</w:t>
      </w:r>
      <w:r>
        <w:t>.</w:t>
      </w:r>
    </w:p>
    <w:p w14:paraId="2E422AFE" w14:textId="675240EE" w:rsidR="00217D5A" w:rsidRDefault="00A14DB7" w:rsidP="00217D5A">
      <w:pPr>
        <w:jc w:val="both"/>
        <w:rPr>
          <w:b/>
        </w:rPr>
      </w:pPr>
      <w:r>
        <w:rPr>
          <w:b/>
        </w:rPr>
        <w:t>Sauf objectifs ponctuel, i</w:t>
      </w:r>
      <w:r w:rsidR="00217D5A" w:rsidRPr="00217D5A">
        <w:rPr>
          <w:b/>
        </w:rPr>
        <w:t>ls doivent être fixés pour la durée du contrat et pas seulement pour les premières années pour une réelle perspective pluriannuelle.</w:t>
      </w:r>
    </w:p>
    <w:p w14:paraId="0EFFAAAE" w14:textId="32EA3D40" w:rsidR="00217D5A" w:rsidRDefault="00217D5A" w:rsidP="00217D5A">
      <w:pPr>
        <w:jc w:val="both"/>
      </w:pPr>
      <w:r>
        <w:t>Les objectifs ou orientations stratégiques engagent dans la durée, à moyen ou long termes.</w:t>
      </w:r>
      <w:r w:rsidRPr="00217D5A">
        <w:rPr>
          <w:b/>
        </w:rPr>
        <w:t xml:space="preserve"> </w:t>
      </w:r>
      <w:r>
        <w:t>Lorsqu’il y en a plusieurs, il</w:t>
      </w:r>
      <w:r w:rsidRPr="00217D5A">
        <w:t xml:space="preserve"> e</w:t>
      </w:r>
      <w:r>
        <w:t>st recommandé de les prioriser.</w:t>
      </w:r>
    </w:p>
    <w:p w14:paraId="4875F232" w14:textId="2F3D33FA" w:rsidR="003C77B9" w:rsidRDefault="00217D5A" w:rsidP="006D01B0">
      <w:pPr>
        <w:jc w:val="both"/>
      </w:pPr>
      <w:r>
        <w:t>Ils</w:t>
      </w:r>
      <w:r w:rsidR="003C77B9" w:rsidRPr="00217D5A">
        <w:t xml:space="preserve"> se déclinent en objectifs opérationnels</w:t>
      </w:r>
      <w:r w:rsidR="003C77B9" w:rsidRPr="00A5706F">
        <w:t xml:space="preserve"> qui sont eux-mêmes déclinés en actions à mettre en œuvre.</w:t>
      </w:r>
    </w:p>
    <w:p w14:paraId="47BF7B56" w14:textId="77777777" w:rsidR="001362C1" w:rsidRDefault="003C77B9" w:rsidP="001362C1">
      <w:pPr>
        <w:pBdr>
          <w:top w:val="single" w:sz="4" w:space="1" w:color="auto"/>
          <w:left w:val="single" w:sz="4" w:space="4" w:color="auto"/>
          <w:bottom w:val="single" w:sz="4" w:space="1" w:color="auto"/>
          <w:right w:val="single" w:sz="4" w:space="4" w:color="auto"/>
        </w:pBdr>
        <w:spacing w:after="0"/>
        <w:jc w:val="both"/>
        <w:rPr>
          <w:rFonts w:cstheme="minorHAnsi"/>
          <w:color w:val="1F497D" w:themeColor="text2"/>
          <w:szCs w:val="20"/>
        </w:rPr>
      </w:pPr>
      <w:r w:rsidRPr="00217D5A">
        <w:rPr>
          <w:rFonts w:cstheme="minorHAnsi"/>
          <w:b/>
          <w:color w:val="1F497D" w:themeColor="text2"/>
          <w:szCs w:val="20"/>
        </w:rPr>
        <w:t>Exemple </w:t>
      </w:r>
      <w:r w:rsidRPr="00217D5A">
        <w:rPr>
          <w:rFonts w:cstheme="minorHAnsi"/>
          <w:color w:val="1F497D" w:themeColor="text2"/>
          <w:szCs w:val="20"/>
        </w:rPr>
        <w:t>:</w:t>
      </w:r>
    </w:p>
    <w:p w14:paraId="688B8103" w14:textId="77777777" w:rsidR="001362C1" w:rsidRDefault="003C77B9" w:rsidP="001362C1">
      <w:pPr>
        <w:pBdr>
          <w:top w:val="single" w:sz="4" w:space="1" w:color="auto"/>
          <w:left w:val="single" w:sz="4" w:space="4" w:color="auto"/>
          <w:bottom w:val="single" w:sz="4" w:space="1" w:color="auto"/>
          <w:right w:val="single" w:sz="4" w:space="4" w:color="auto"/>
        </w:pBdr>
        <w:spacing w:after="0"/>
        <w:jc w:val="both"/>
        <w:rPr>
          <w:rFonts w:cstheme="minorHAnsi"/>
          <w:szCs w:val="20"/>
        </w:rPr>
      </w:pPr>
      <w:r w:rsidRPr="00217D5A">
        <w:rPr>
          <w:rFonts w:cstheme="minorHAnsi"/>
          <w:b/>
          <w:bCs/>
          <w:szCs w:val="20"/>
        </w:rPr>
        <w:t xml:space="preserve">Orientation stratégique </w:t>
      </w:r>
      <w:r w:rsidRPr="00217D5A">
        <w:rPr>
          <w:rFonts w:cstheme="minorHAnsi"/>
          <w:szCs w:val="20"/>
        </w:rPr>
        <w:t xml:space="preserve">: garantir la sécurité des salariés. </w:t>
      </w:r>
    </w:p>
    <w:p w14:paraId="72C4FEB1" w14:textId="4DDB1398" w:rsidR="003C77B9" w:rsidRPr="001362C1" w:rsidRDefault="003C77B9" w:rsidP="001362C1">
      <w:pPr>
        <w:pBdr>
          <w:top w:val="single" w:sz="4" w:space="1" w:color="auto"/>
          <w:left w:val="single" w:sz="4" w:space="4" w:color="auto"/>
          <w:bottom w:val="single" w:sz="4" w:space="1" w:color="auto"/>
          <w:right w:val="single" w:sz="4" w:space="4" w:color="auto"/>
        </w:pBdr>
        <w:spacing w:after="0"/>
        <w:jc w:val="both"/>
        <w:rPr>
          <w:rFonts w:cstheme="minorHAnsi"/>
          <w:color w:val="1F497D" w:themeColor="text2"/>
          <w:szCs w:val="20"/>
        </w:rPr>
      </w:pPr>
      <w:r w:rsidRPr="00217D5A">
        <w:rPr>
          <w:rFonts w:cstheme="minorHAnsi"/>
          <w:b/>
          <w:bCs/>
          <w:szCs w:val="20"/>
        </w:rPr>
        <w:t xml:space="preserve">Objectif opérationnel </w:t>
      </w:r>
      <w:r w:rsidRPr="00217D5A">
        <w:rPr>
          <w:rFonts w:cstheme="minorHAnsi"/>
          <w:szCs w:val="20"/>
        </w:rPr>
        <w:t xml:space="preserve">: Réduire le nombre d'accidents du travail. </w:t>
      </w:r>
    </w:p>
    <w:p w14:paraId="0A6BB1AF" w14:textId="78B58AF3" w:rsidR="003C77B9" w:rsidRPr="00217D5A" w:rsidRDefault="003C77B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Action </w:t>
      </w:r>
      <w:r w:rsidRPr="00217D5A">
        <w:rPr>
          <w:rFonts w:asciiTheme="minorHAnsi" w:hAnsiTheme="minorHAnsi" w:cstheme="minorHAnsi"/>
          <w:sz w:val="22"/>
          <w:szCs w:val="20"/>
        </w:rPr>
        <w:t xml:space="preserve">: Mettre en </w:t>
      </w:r>
      <w:proofErr w:type="spellStart"/>
      <w:r w:rsidRPr="00217D5A">
        <w:rPr>
          <w:rFonts w:asciiTheme="minorHAnsi" w:hAnsiTheme="minorHAnsi" w:cstheme="minorHAnsi"/>
          <w:sz w:val="22"/>
          <w:szCs w:val="20"/>
        </w:rPr>
        <w:t>oeuvre</w:t>
      </w:r>
      <w:proofErr w:type="spellEnd"/>
      <w:r w:rsidRPr="00217D5A">
        <w:rPr>
          <w:rFonts w:asciiTheme="minorHAnsi" w:hAnsiTheme="minorHAnsi" w:cstheme="minorHAnsi"/>
          <w:sz w:val="22"/>
          <w:szCs w:val="20"/>
        </w:rPr>
        <w:t xml:space="preserve"> un plan de prévention </w:t>
      </w:r>
    </w:p>
    <w:p w14:paraId="608C30E8" w14:textId="53F1A7BB" w:rsidR="003C77B9" w:rsidRPr="00217D5A" w:rsidRDefault="003C77B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Indicateur </w:t>
      </w:r>
      <w:r w:rsidRPr="00217D5A">
        <w:rPr>
          <w:rFonts w:asciiTheme="minorHAnsi" w:hAnsiTheme="minorHAnsi" w:cstheme="minorHAnsi"/>
          <w:sz w:val="22"/>
          <w:szCs w:val="20"/>
        </w:rPr>
        <w:t xml:space="preserve">: Nombre d'accidents du travail par an. </w:t>
      </w:r>
    </w:p>
    <w:p w14:paraId="7D3D262B" w14:textId="683CCC93" w:rsidR="003C77B9" w:rsidRPr="00217D5A" w:rsidRDefault="003C77B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Cible à 5 ans </w:t>
      </w:r>
      <w:r w:rsidRPr="00217D5A">
        <w:rPr>
          <w:rFonts w:asciiTheme="minorHAnsi" w:hAnsiTheme="minorHAnsi" w:cstheme="minorHAnsi"/>
          <w:sz w:val="22"/>
          <w:szCs w:val="20"/>
        </w:rPr>
        <w:t xml:space="preserve">: Réduction de 20% du nombre d'accidents du travail. </w:t>
      </w:r>
    </w:p>
    <w:p w14:paraId="38324056" w14:textId="7302CB97"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p>
    <w:p w14:paraId="00634437" w14:textId="7FFE9AC1" w:rsidR="00A915D9" w:rsidRPr="001362C1"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1F497D" w:themeColor="text2"/>
          <w:sz w:val="22"/>
          <w:szCs w:val="20"/>
        </w:rPr>
      </w:pPr>
      <w:r w:rsidRPr="00217D5A">
        <w:rPr>
          <w:rFonts w:asciiTheme="minorHAnsi" w:hAnsiTheme="minorHAnsi" w:cstheme="minorHAnsi"/>
          <w:b/>
          <w:color w:val="1F497D" w:themeColor="text2"/>
          <w:sz w:val="22"/>
          <w:szCs w:val="20"/>
        </w:rPr>
        <w:t>Autre exemple :</w:t>
      </w:r>
    </w:p>
    <w:p w14:paraId="7A933E01" w14:textId="7D5420EF"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Orientation stratégique </w:t>
      </w:r>
      <w:r w:rsidRPr="00217D5A">
        <w:rPr>
          <w:rFonts w:asciiTheme="minorHAnsi" w:hAnsiTheme="minorHAnsi" w:cstheme="minorHAnsi"/>
          <w:sz w:val="22"/>
          <w:szCs w:val="20"/>
        </w:rPr>
        <w:t xml:space="preserve">: </w:t>
      </w:r>
      <w:r w:rsidR="008A351B" w:rsidRPr="00217D5A">
        <w:rPr>
          <w:rFonts w:asciiTheme="minorHAnsi" w:hAnsiTheme="minorHAnsi" w:cstheme="minorHAnsi"/>
          <w:sz w:val="22"/>
          <w:szCs w:val="20"/>
        </w:rPr>
        <w:t>permettre l’accessibilité au service sur tout le territoire d’intervention du SAAD</w:t>
      </w:r>
    </w:p>
    <w:p w14:paraId="7DBEA4C5" w14:textId="1D3CB222"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Objectif opérationnel </w:t>
      </w:r>
      <w:r w:rsidRPr="00217D5A">
        <w:rPr>
          <w:rFonts w:asciiTheme="minorHAnsi" w:hAnsiTheme="minorHAnsi" w:cstheme="minorHAnsi"/>
          <w:sz w:val="22"/>
          <w:szCs w:val="20"/>
        </w:rPr>
        <w:t xml:space="preserve">: </w:t>
      </w:r>
      <w:r w:rsidR="008A351B" w:rsidRPr="00217D5A">
        <w:rPr>
          <w:rFonts w:asciiTheme="minorHAnsi" w:hAnsiTheme="minorHAnsi" w:cstheme="minorHAnsi"/>
          <w:sz w:val="22"/>
          <w:szCs w:val="20"/>
        </w:rPr>
        <w:t xml:space="preserve">Intervenir </w:t>
      </w:r>
      <w:r w:rsidR="00217D5A" w:rsidRPr="00217D5A">
        <w:rPr>
          <w:rFonts w:asciiTheme="minorHAnsi" w:hAnsiTheme="minorHAnsi" w:cstheme="minorHAnsi"/>
          <w:sz w:val="22"/>
          <w:szCs w:val="20"/>
        </w:rPr>
        <w:t xml:space="preserve">toute l’année </w:t>
      </w:r>
      <w:r w:rsidR="008A351B" w:rsidRPr="00217D5A">
        <w:rPr>
          <w:rFonts w:asciiTheme="minorHAnsi" w:hAnsiTheme="minorHAnsi" w:cstheme="minorHAnsi"/>
          <w:sz w:val="22"/>
          <w:szCs w:val="20"/>
        </w:rPr>
        <w:t>dans la commune XXX (difficile d’accès en hiver)</w:t>
      </w:r>
    </w:p>
    <w:p w14:paraId="15C415E0" w14:textId="562A21CA"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Action </w:t>
      </w:r>
      <w:r w:rsidRPr="00217D5A">
        <w:rPr>
          <w:rFonts w:asciiTheme="minorHAnsi" w:hAnsiTheme="minorHAnsi" w:cstheme="minorHAnsi"/>
          <w:sz w:val="22"/>
          <w:szCs w:val="20"/>
        </w:rPr>
        <w:t xml:space="preserve">: </w:t>
      </w:r>
      <w:r w:rsidR="008A351B" w:rsidRPr="00217D5A">
        <w:rPr>
          <w:rFonts w:asciiTheme="minorHAnsi" w:hAnsiTheme="minorHAnsi" w:cstheme="minorHAnsi"/>
          <w:sz w:val="22"/>
          <w:szCs w:val="20"/>
        </w:rPr>
        <w:t>financer des équipements neige pour les véhicules des intervenants à domicile</w:t>
      </w:r>
      <w:r w:rsidRPr="00217D5A">
        <w:rPr>
          <w:rFonts w:asciiTheme="minorHAnsi" w:hAnsiTheme="minorHAnsi" w:cstheme="minorHAnsi"/>
          <w:sz w:val="22"/>
          <w:szCs w:val="20"/>
        </w:rPr>
        <w:t xml:space="preserve"> </w:t>
      </w:r>
    </w:p>
    <w:p w14:paraId="1E87F30A" w14:textId="666F46B9"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Indicateur </w:t>
      </w:r>
      <w:r w:rsidRPr="00217D5A">
        <w:rPr>
          <w:rFonts w:asciiTheme="minorHAnsi" w:hAnsiTheme="minorHAnsi" w:cstheme="minorHAnsi"/>
          <w:sz w:val="22"/>
          <w:szCs w:val="20"/>
        </w:rPr>
        <w:t xml:space="preserve">: </w:t>
      </w:r>
      <w:r w:rsidR="008A351B" w:rsidRPr="00217D5A">
        <w:rPr>
          <w:rFonts w:asciiTheme="minorHAnsi" w:hAnsiTheme="minorHAnsi" w:cstheme="minorHAnsi"/>
          <w:sz w:val="22"/>
          <w:szCs w:val="20"/>
        </w:rPr>
        <w:t xml:space="preserve">Nombre d’interventions dans la commune XXX annulées en raison des intempéries </w:t>
      </w:r>
    </w:p>
    <w:p w14:paraId="6083971B" w14:textId="7A16C3F2" w:rsidR="00A915D9" w:rsidRPr="00217D5A" w:rsidRDefault="00A915D9" w:rsidP="001362C1">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0"/>
        </w:rPr>
      </w:pPr>
      <w:r w:rsidRPr="00217D5A">
        <w:rPr>
          <w:rFonts w:asciiTheme="minorHAnsi" w:hAnsiTheme="minorHAnsi" w:cstheme="minorHAnsi"/>
          <w:b/>
          <w:bCs/>
          <w:sz w:val="22"/>
          <w:szCs w:val="20"/>
        </w:rPr>
        <w:t xml:space="preserve">Cible à 5 ans </w:t>
      </w:r>
      <w:r w:rsidRPr="00217D5A">
        <w:rPr>
          <w:rFonts w:asciiTheme="minorHAnsi" w:hAnsiTheme="minorHAnsi" w:cstheme="minorHAnsi"/>
          <w:sz w:val="22"/>
          <w:szCs w:val="20"/>
        </w:rPr>
        <w:t xml:space="preserve">: Réduction de </w:t>
      </w:r>
      <w:r w:rsidR="008A351B" w:rsidRPr="00217D5A">
        <w:rPr>
          <w:rFonts w:asciiTheme="minorHAnsi" w:hAnsiTheme="minorHAnsi" w:cstheme="minorHAnsi"/>
          <w:sz w:val="22"/>
          <w:szCs w:val="20"/>
        </w:rPr>
        <w:t>90% des interventions annulées en raison des intempéries</w:t>
      </w:r>
    </w:p>
    <w:p w14:paraId="74016C54" w14:textId="77777777" w:rsidR="00A915D9" w:rsidRDefault="00A915D9" w:rsidP="006D01B0">
      <w:pPr>
        <w:pStyle w:val="Default"/>
        <w:pBdr>
          <w:top w:val="single" w:sz="4" w:space="1" w:color="auto"/>
          <w:left w:val="single" w:sz="4" w:space="4" w:color="auto"/>
          <w:bottom w:val="single" w:sz="4" w:space="1" w:color="auto"/>
          <w:right w:val="single" w:sz="4" w:space="4" w:color="auto"/>
        </w:pBdr>
        <w:jc w:val="both"/>
        <w:rPr>
          <w:sz w:val="20"/>
          <w:szCs w:val="20"/>
        </w:rPr>
      </w:pPr>
    </w:p>
    <w:p w14:paraId="2DEE436C" w14:textId="77777777" w:rsidR="003C77B9" w:rsidRPr="00A5706F" w:rsidRDefault="003C77B9" w:rsidP="006D01B0">
      <w:pPr>
        <w:jc w:val="both"/>
      </w:pPr>
    </w:p>
    <w:p w14:paraId="435D2F43" w14:textId="088E49DF" w:rsidR="00670D1B" w:rsidRDefault="00670D1B" w:rsidP="006D01B0">
      <w:pPr>
        <w:ind w:firstLine="708"/>
        <w:jc w:val="both"/>
      </w:pPr>
      <w:r w:rsidRPr="00670D1B">
        <w:rPr>
          <w:rFonts w:cstheme="minorHAnsi"/>
          <w:b/>
          <w:color w:val="1F497D" w:themeColor="text2"/>
        </w:rPr>
        <w:t>→</w:t>
      </w:r>
      <w:r w:rsidRPr="00670D1B">
        <w:rPr>
          <w:b/>
          <w:color w:val="1F497D" w:themeColor="text2"/>
        </w:rPr>
        <w:t xml:space="preserve"> Les objectifs opérationnels</w:t>
      </w:r>
      <w:r w:rsidR="003C77B9" w:rsidRPr="00670D1B">
        <w:rPr>
          <w:b/>
          <w:color w:val="1F497D" w:themeColor="text2"/>
        </w:rPr>
        <w:t xml:space="preserve"> doivent être réalistes</w:t>
      </w:r>
      <w:r>
        <w:rPr>
          <w:b/>
          <w:color w:val="1F497D" w:themeColor="text2"/>
        </w:rPr>
        <w:t>, mesurables</w:t>
      </w:r>
      <w:r w:rsidR="003C77B9" w:rsidRPr="00670D1B">
        <w:rPr>
          <w:b/>
          <w:color w:val="1F497D" w:themeColor="text2"/>
        </w:rPr>
        <w:t xml:space="preserve"> et en nombre </w:t>
      </w:r>
      <w:proofErr w:type="gramStart"/>
      <w:r w:rsidR="003C77B9" w:rsidRPr="00670D1B">
        <w:rPr>
          <w:b/>
          <w:color w:val="1F497D" w:themeColor="text2"/>
        </w:rPr>
        <w:t>limité</w:t>
      </w:r>
      <w:proofErr w:type="gramEnd"/>
      <w:r w:rsidR="003C77B9" w:rsidRPr="00670D1B">
        <w:rPr>
          <w:color w:val="1F497D" w:themeColor="text2"/>
        </w:rPr>
        <w:t xml:space="preserve"> </w:t>
      </w:r>
      <w:r w:rsidR="003C77B9">
        <w:t xml:space="preserve">pour </w:t>
      </w:r>
      <w:r>
        <w:t xml:space="preserve">en </w:t>
      </w:r>
      <w:r w:rsidR="003C77B9">
        <w:t>garantir</w:t>
      </w:r>
      <w:r>
        <w:t xml:space="preserve"> le suivi, la lisibilité et l’efficacité.</w:t>
      </w:r>
    </w:p>
    <w:p w14:paraId="3EF60F43" w14:textId="77777777" w:rsidR="00F454D1" w:rsidRPr="00F454D1" w:rsidRDefault="00F454D1" w:rsidP="00217D5A">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rPr>
      </w:pPr>
      <w:r w:rsidRPr="00F454D1">
        <w:rPr>
          <w:b/>
          <w:color w:val="1F497D" w:themeColor="text2"/>
        </w:rPr>
        <w:t>La méthode SMART </w:t>
      </w:r>
    </w:p>
    <w:p w14:paraId="7A65A96A" w14:textId="141A9924" w:rsidR="00670D1B" w:rsidRPr="00F454D1" w:rsidRDefault="00F454D1" w:rsidP="00217D5A">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rPr>
      </w:pPr>
      <w:r>
        <w:rPr>
          <w:b/>
          <w:color w:val="1F497D" w:themeColor="text2"/>
        </w:rPr>
        <w:t xml:space="preserve"> U</w:t>
      </w:r>
      <w:r w:rsidR="00670D1B" w:rsidRPr="00F454D1">
        <w:rPr>
          <w:b/>
          <w:color w:val="1F497D" w:themeColor="text2"/>
        </w:rPr>
        <w:t xml:space="preserve">n moyen mnémotechnique pour définir des objectifs </w:t>
      </w:r>
      <w:r w:rsidR="00217D5A" w:rsidRPr="00F454D1">
        <w:rPr>
          <w:b/>
          <w:color w:val="1F497D" w:themeColor="text2"/>
        </w:rPr>
        <w:t>et des indicateurs pertinents</w:t>
      </w:r>
    </w:p>
    <w:p w14:paraId="0E9AC44F" w14:textId="77777777" w:rsidR="00217D5A" w:rsidRPr="00217D5A" w:rsidRDefault="00217D5A" w:rsidP="006D01B0">
      <w:pPr>
        <w:pBdr>
          <w:top w:val="single" w:sz="4" w:space="1" w:color="auto"/>
          <w:left w:val="single" w:sz="4" w:space="4" w:color="auto"/>
          <w:bottom w:val="single" w:sz="4" w:space="1" w:color="auto"/>
          <w:right w:val="single" w:sz="4" w:space="4" w:color="auto"/>
        </w:pBdr>
        <w:spacing w:after="0" w:line="240" w:lineRule="auto"/>
        <w:jc w:val="both"/>
        <w:rPr>
          <w:b/>
          <w:color w:val="1F497D" w:themeColor="text2"/>
          <w:sz w:val="20"/>
        </w:rPr>
      </w:pPr>
    </w:p>
    <w:p w14:paraId="29213AC0" w14:textId="49E73553" w:rsidR="00670D1B" w:rsidRPr="00A5706F" w:rsidRDefault="001362C1" w:rsidP="006D01B0">
      <w:pPr>
        <w:pBdr>
          <w:top w:val="single" w:sz="4" w:space="1" w:color="auto"/>
          <w:left w:val="single" w:sz="4" w:space="4" w:color="auto"/>
          <w:bottom w:val="single" w:sz="4" w:space="1" w:color="auto"/>
          <w:right w:val="single" w:sz="4" w:space="4" w:color="auto"/>
        </w:pBdr>
        <w:spacing w:after="0" w:line="240" w:lineRule="auto"/>
        <w:jc w:val="both"/>
      </w:pPr>
      <w:r>
        <w:t>-</w:t>
      </w:r>
      <w:r w:rsidR="00670D1B" w:rsidRPr="00A5706F">
        <w:t>Spécifique : l’indicateur ne doit pas être général, mais adossé à un objectif précis.</w:t>
      </w:r>
    </w:p>
    <w:p w14:paraId="7AD7994F" w14:textId="4F61128F" w:rsidR="00670D1B" w:rsidRPr="00A5706F" w:rsidRDefault="00670D1B" w:rsidP="006D01B0">
      <w:pPr>
        <w:pBdr>
          <w:top w:val="single" w:sz="4" w:space="1" w:color="auto"/>
          <w:left w:val="single" w:sz="4" w:space="4" w:color="auto"/>
          <w:bottom w:val="single" w:sz="4" w:space="1" w:color="auto"/>
          <w:right w:val="single" w:sz="4" w:space="4" w:color="auto"/>
        </w:pBdr>
        <w:spacing w:after="0" w:line="240" w:lineRule="auto"/>
        <w:jc w:val="both"/>
      </w:pPr>
      <w:r w:rsidRPr="00A5706F">
        <w:t>-Mesurable : l’indicateur doit être quantifiable. Ainsi, le suivi d’éléments qualitatifs est possible, à condition de l’évaluer à travers des éléments quantitatifs objectifs.</w:t>
      </w:r>
    </w:p>
    <w:p w14:paraId="3C21696E" w14:textId="33CA8FB7" w:rsidR="00670D1B" w:rsidRPr="00A5706F" w:rsidRDefault="00670D1B" w:rsidP="006D01B0">
      <w:pPr>
        <w:pBdr>
          <w:top w:val="single" w:sz="4" w:space="1" w:color="auto"/>
          <w:left w:val="single" w:sz="4" w:space="4" w:color="auto"/>
          <w:bottom w:val="single" w:sz="4" w:space="1" w:color="auto"/>
          <w:right w:val="single" w:sz="4" w:space="4" w:color="auto"/>
        </w:pBdr>
        <w:spacing w:after="0" w:line="240" w:lineRule="auto"/>
        <w:jc w:val="both"/>
      </w:pPr>
      <w:r w:rsidRPr="00A5706F">
        <w:t>-Acceptable : l’indicateur comme l’objectif doivent être partagés par les participants, favoriser leur adhésion.</w:t>
      </w:r>
    </w:p>
    <w:p w14:paraId="68D67301" w14:textId="5E42DBC3" w:rsidR="00670D1B" w:rsidRPr="00A5706F" w:rsidRDefault="00670D1B" w:rsidP="006D01B0">
      <w:pPr>
        <w:pBdr>
          <w:top w:val="single" w:sz="4" w:space="1" w:color="auto"/>
          <w:left w:val="single" w:sz="4" w:space="4" w:color="auto"/>
          <w:bottom w:val="single" w:sz="4" w:space="1" w:color="auto"/>
          <w:right w:val="single" w:sz="4" w:space="4" w:color="auto"/>
        </w:pBdr>
        <w:spacing w:after="0" w:line="240" w:lineRule="auto"/>
        <w:jc w:val="both"/>
      </w:pPr>
      <w:r w:rsidRPr="00A5706F">
        <w:t xml:space="preserve">-Réaliste : l’objectif est réalisable pour les parties prenantes et sa mesure doit également l’être. </w:t>
      </w:r>
    </w:p>
    <w:p w14:paraId="670BFDB1" w14:textId="61A700AB" w:rsidR="00B524AD" w:rsidRPr="00B524AD" w:rsidRDefault="00670D1B" w:rsidP="001362C1">
      <w:pPr>
        <w:pBdr>
          <w:top w:val="single" w:sz="4" w:space="1" w:color="auto"/>
          <w:left w:val="single" w:sz="4" w:space="4" w:color="auto"/>
          <w:bottom w:val="single" w:sz="4" w:space="1" w:color="auto"/>
          <w:right w:val="single" w:sz="4" w:space="4" w:color="auto"/>
        </w:pBdr>
        <w:jc w:val="both"/>
      </w:pPr>
      <w:r w:rsidRPr="00A5706F">
        <w:t>-Temporellement défini : l’objectif doit être clairement défini dans le temps par des termes précis, et les indicateurs s’appuyer sur un calendrier défini.</w:t>
      </w:r>
    </w:p>
    <w:p w14:paraId="0058328B" w14:textId="588BF21E" w:rsidR="00B524AD" w:rsidRPr="00B524AD" w:rsidRDefault="00B524AD" w:rsidP="006D01B0">
      <w:pPr>
        <w:ind w:firstLine="708"/>
        <w:jc w:val="both"/>
      </w:pPr>
      <w:r w:rsidRPr="001C62DC">
        <w:rPr>
          <w:b/>
          <w:color w:val="1F497D" w:themeColor="text2"/>
        </w:rPr>
        <w:t>→ Eviter de fixer des objectifs généraux</w:t>
      </w:r>
      <w:r w:rsidRPr="001C62DC">
        <w:rPr>
          <w:color w:val="1F497D" w:themeColor="text2"/>
        </w:rPr>
        <w:t> </w:t>
      </w:r>
      <w:r w:rsidRPr="001C62DC">
        <w:rPr>
          <w:b/>
          <w:color w:val="1F497D" w:themeColor="text2"/>
        </w:rPr>
        <w:t>de bonnes pratiques</w:t>
      </w:r>
      <w:r w:rsidRPr="001C62DC">
        <w:rPr>
          <w:color w:val="1F497D" w:themeColor="text2"/>
        </w:rPr>
        <w:t xml:space="preserve"> </w:t>
      </w:r>
      <w:r w:rsidRPr="001C62DC">
        <w:t xml:space="preserve">qui ne sont pas en lien avec le diagnostic partagé mais communs à l’ensemble des services et qui </w:t>
      </w:r>
      <w:r>
        <w:t>ne feraient pas l’objet d’indicateurs de suivi.</w:t>
      </w:r>
      <w:r w:rsidRPr="001C62DC">
        <w:t xml:space="preserve"> </w:t>
      </w:r>
    </w:p>
    <w:p w14:paraId="279278F3" w14:textId="60768661" w:rsidR="00B524AD" w:rsidRPr="00B524AD" w:rsidRDefault="00B524AD" w:rsidP="006D01B0">
      <w:pPr>
        <w:pStyle w:val="Paragraphedeliste"/>
        <w:ind w:left="0"/>
        <w:jc w:val="both"/>
      </w:pPr>
      <w:r w:rsidRPr="00B524AD">
        <w:rPr>
          <w:b/>
        </w:rPr>
        <w:t>Le CPOM peut prévoir des objectifs d’amélioration du service rendu aux bénéficiaires de l’APA, de la PCH et de l’aide-ménagère</w:t>
      </w:r>
      <w:r>
        <w:t xml:space="preserve"> et</w:t>
      </w:r>
      <w:r w:rsidRPr="00B524AD">
        <w:t xml:space="preserve">, </w:t>
      </w:r>
      <w:r>
        <w:t>notamment</w:t>
      </w:r>
      <w:r w:rsidRPr="00B524AD">
        <w:t>, des objectifs mentionnés à l’article L313-11-1, relatifs :</w:t>
      </w:r>
    </w:p>
    <w:p w14:paraId="3936D932" w14:textId="77777777" w:rsidR="00B524AD" w:rsidRPr="00B524AD" w:rsidRDefault="00B524AD" w:rsidP="006D01B0">
      <w:pPr>
        <w:pStyle w:val="Paragraphedeliste"/>
        <w:numPr>
          <w:ilvl w:val="0"/>
          <w:numId w:val="10"/>
        </w:numPr>
        <w:jc w:val="both"/>
      </w:pPr>
      <w:proofErr w:type="gramStart"/>
      <w:r w:rsidRPr="00B524AD">
        <w:t>aux</w:t>
      </w:r>
      <w:proofErr w:type="gramEnd"/>
      <w:r w:rsidRPr="00B524AD">
        <w:t xml:space="preserve"> modalités de participation aux actions de prévention de la perte d'autonomie prévues par les schémas départementaux, ainsi qu'à l'optimisation des parcours de soins des personnes âgées ;</w:t>
      </w:r>
    </w:p>
    <w:p w14:paraId="0837219E" w14:textId="3AE05084" w:rsidR="00B524AD" w:rsidRPr="00B524AD" w:rsidRDefault="00B524AD" w:rsidP="006D01B0">
      <w:pPr>
        <w:pStyle w:val="Paragraphedeliste"/>
        <w:numPr>
          <w:ilvl w:val="0"/>
          <w:numId w:val="10"/>
        </w:numPr>
        <w:jc w:val="both"/>
      </w:pPr>
      <w:proofErr w:type="gramStart"/>
      <w:r>
        <w:t>à</w:t>
      </w:r>
      <w:proofErr w:type="gramEnd"/>
      <w:r>
        <w:t xml:space="preserve"> </w:t>
      </w:r>
      <w:r w:rsidRPr="00B524AD">
        <w:t>la</w:t>
      </w:r>
      <w:r>
        <w:t xml:space="preserve"> qualification et aux</w:t>
      </w:r>
      <w:r w:rsidRPr="00B524AD">
        <w:t xml:space="preserve"> promotion</w:t>
      </w:r>
      <w:r>
        <w:t>s</w:t>
      </w:r>
      <w:r w:rsidRPr="00B524AD">
        <w:t xml:space="preserve"> professionnelles au regard des publics accompagnés et de l'organisation des services ;</w:t>
      </w:r>
    </w:p>
    <w:p w14:paraId="461164B1" w14:textId="7FF06F37" w:rsidR="00B524AD" w:rsidRPr="00B524AD" w:rsidRDefault="00B524AD" w:rsidP="006D01B0">
      <w:pPr>
        <w:pStyle w:val="Paragraphedeliste"/>
        <w:numPr>
          <w:ilvl w:val="0"/>
          <w:numId w:val="10"/>
        </w:numPr>
        <w:jc w:val="both"/>
      </w:pPr>
      <w:proofErr w:type="gramStart"/>
      <w:r>
        <w:t>à</w:t>
      </w:r>
      <w:proofErr w:type="gramEnd"/>
      <w:r>
        <w:t xml:space="preserve"> </w:t>
      </w:r>
      <w:r w:rsidRPr="00B524AD">
        <w:t>la prévention de la maltraitance et la promotion de la bientraitance ;</w:t>
      </w:r>
    </w:p>
    <w:p w14:paraId="68959B43" w14:textId="7B9AAB63" w:rsidR="00DF63AE" w:rsidRDefault="00B524AD" w:rsidP="006D01B0">
      <w:pPr>
        <w:pStyle w:val="Paragraphedeliste"/>
        <w:numPr>
          <w:ilvl w:val="0"/>
          <w:numId w:val="10"/>
        </w:numPr>
        <w:jc w:val="both"/>
      </w:pPr>
      <w:proofErr w:type="gramStart"/>
      <w:r w:rsidRPr="00B524AD">
        <w:t>aux</w:t>
      </w:r>
      <w:proofErr w:type="gramEnd"/>
      <w:r w:rsidRPr="00B524AD">
        <w:t xml:space="preserve"> modalités de la coordination avec les autres organismes à caractère social, médico-social ou sanitaire</w:t>
      </w:r>
      <w:r>
        <w:t>.</w:t>
      </w:r>
    </w:p>
    <w:p w14:paraId="3243A65F" w14:textId="3510F6A3" w:rsidR="00730136" w:rsidRPr="00253A8F" w:rsidRDefault="00253A8F" w:rsidP="00253A8F">
      <w:pPr>
        <w:jc w:val="both"/>
      </w:pPr>
      <w:r w:rsidRPr="00253A8F">
        <w:rPr>
          <w:b/>
        </w:rPr>
        <w:t>Des objectifs améliorant la gestion</w:t>
      </w:r>
      <w:r w:rsidRPr="00253A8F">
        <w:t xml:space="preserve"> peuvent également utilement être prévus, comme la mise en place de la télégestion interopérable avec le </w:t>
      </w:r>
      <w:r>
        <w:t>système de télétransmission du d</w:t>
      </w:r>
      <w:r w:rsidRPr="00253A8F">
        <w:t xml:space="preserve">épartement permettant la télétransmission des données relatives à l’activité </w:t>
      </w:r>
      <w:r w:rsidR="00730136">
        <w:t xml:space="preserve">du service, ou </w:t>
      </w:r>
      <w:r w:rsidR="00730136" w:rsidRPr="00730136">
        <w:t xml:space="preserve">encore </w:t>
      </w:r>
      <w:r w:rsidR="006C5BDC">
        <w:t>d</w:t>
      </w:r>
      <w:r w:rsidR="00730136" w:rsidRPr="00730136">
        <w:t>es règles de comptabilisation du temps d’intervention (minutes, tranches</w:t>
      </w:r>
      <w:r w:rsidR="006C5BDC">
        <w:t xml:space="preserve"> horaires, arrondis…), d</w:t>
      </w:r>
      <w:r w:rsidR="00730136" w:rsidRPr="00730136">
        <w:t xml:space="preserve">es règles de </w:t>
      </w:r>
      <w:proofErr w:type="spellStart"/>
      <w:r w:rsidR="00730136" w:rsidRPr="00730136">
        <w:t>proratisation</w:t>
      </w:r>
      <w:proofErr w:type="spellEnd"/>
      <w:r w:rsidR="00730136" w:rsidRPr="00730136">
        <w:t xml:space="preserve"> du plan d’aide ou du plan de de compensation en cas d’ouverture des dro</w:t>
      </w:r>
      <w:r w:rsidR="006C5BDC">
        <w:t>its en cours de mois ou encore d</w:t>
      </w:r>
      <w:r w:rsidR="00730136" w:rsidRPr="00730136">
        <w:t xml:space="preserve">es règles de mise en œuvre du plan d’aide </w:t>
      </w:r>
      <w:r w:rsidR="00D35337">
        <w:t>(</w:t>
      </w:r>
      <w:r w:rsidR="00730136" w:rsidRPr="00730136">
        <w:t>report possible des heures</w:t>
      </w:r>
      <w:r w:rsidR="00D35337" w:rsidRPr="00D35337">
        <w:t xml:space="preserve"> </w:t>
      </w:r>
      <w:r w:rsidR="00D35337" w:rsidRPr="00730136">
        <w:t>en cas d’hospitalisation</w:t>
      </w:r>
      <w:r w:rsidR="00531EFE">
        <w:t>, modalités des interventions de courte durée</w:t>
      </w:r>
      <w:r w:rsidR="00D35337">
        <w:t xml:space="preserve">…). </w:t>
      </w:r>
    </w:p>
    <w:p w14:paraId="727764C4" w14:textId="44F1E6DD" w:rsidR="001C1E69" w:rsidRPr="006C5BDC" w:rsidRDefault="006C5BDC" w:rsidP="006D01B0">
      <w:pPr>
        <w:jc w:val="both"/>
      </w:pPr>
      <w:r>
        <w:rPr>
          <w:b/>
        </w:rPr>
        <w:t>Enfin, l</w:t>
      </w:r>
      <w:r w:rsidR="00B524AD" w:rsidRPr="00253A8F">
        <w:rPr>
          <w:b/>
        </w:rPr>
        <w:t>orsqu’il prévoit le versement de la dotation complémentaire,</w:t>
      </w:r>
      <w:r w:rsidR="00B524AD" w:rsidRPr="001C1E69">
        <w:rPr>
          <w:b/>
        </w:rPr>
        <w:t xml:space="preserve"> </w:t>
      </w:r>
      <w:r w:rsidR="001C1E69" w:rsidRPr="001C1E69">
        <w:rPr>
          <w:b/>
        </w:rPr>
        <w:t xml:space="preserve">le CPOM </w:t>
      </w:r>
      <w:r w:rsidR="00B524AD" w:rsidRPr="001C1E69">
        <w:rPr>
          <w:b/>
        </w:rPr>
        <w:t xml:space="preserve">doit fixer </w:t>
      </w:r>
      <w:r w:rsidR="001C1E69" w:rsidRPr="001C1E69">
        <w:rPr>
          <w:b/>
        </w:rPr>
        <w:t>un ou plusieurs</w:t>
      </w:r>
      <w:r w:rsidR="00B524AD" w:rsidRPr="001C1E69">
        <w:rPr>
          <w:b/>
        </w:rPr>
        <w:t xml:space="preserve"> objectifs fixés en contrepartie du bénéfice de cette dotation.</w:t>
      </w:r>
      <w:r>
        <w:rPr>
          <w:b/>
        </w:rPr>
        <w:t xml:space="preserve"> </w:t>
      </w:r>
    </w:p>
    <w:p w14:paraId="4EC9F172" w14:textId="7F3FC190" w:rsidR="006D01B0" w:rsidRDefault="001C1E69" w:rsidP="00253A8F">
      <w:pPr>
        <w:ind w:firstLine="708"/>
        <w:jc w:val="both"/>
        <w:rPr>
          <w:b/>
          <w:color w:val="1F497D" w:themeColor="text2"/>
        </w:rPr>
      </w:pPr>
      <w:r w:rsidRPr="001C1E69">
        <w:rPr>
          <w:b/>
          <w:color w:val="1F497D" w:themeColor="text2"/>
        </w:rPr>
        <w:t>→</w:t>
      </w:r>
      <w:r>
        <w:rPr>
          <w:b/>
          <w:color w:val="1F497D" w:themeColor="text2"/>
        </w:rPr>
        <w:t xml:space="preserve"> Bien</w:t>
      </w:r>
      <w:r w:rsidR="006D01B0">
        <w:rPr>
          <w:b/>
          <w:color w:val="1F497D" w:themeColor="text2"/>
        </w:rPr>
        <w:t xml:space="preserve"> identifier</w:t>
      </w:r>
      <w:r w:rsidR="00217D5A">
        <w:rPr>
          <w:b/>
          <w:color w:val="1F497D" w:themeColor="text2"/>
        </w:rPr>
        <w:t xml:space="preserve"> </w:t>
      </w:r>
      <w:r w:rsidR="00253A8F">
        <w:rPr>
          <w:b/>
          <w:color w:val="1F497D" w:themeColor="text2"/>
        </w:rPr>
        <w:t>l</w:t>
      </w:r>
      <w:r>
        <w:rPr>
          <w:b/>
          <w:color w:val="1F497D" w:themeColor="text2"/>
        </w:rPr>
        <w:t>es objectifs</w:t>
      </w:r>
      <w:r w:rsidR="00B524AD" w:rsidRPr="001C1E69">
        <w:rPr>
          <w:b/>
          <w:color w:val="1F497D" w:themeColor="text2"/>
        </w:rPr>
        <w:t xml:space="preserve"> </w:t>
      </w:r>
      <w:r w:rsidR="00253A8F">
        <w:rPr>
          <w:b/>
          <w:color w:val="1F497D" w:themeColor="text2"/>
        </w:rPr>
        <w:t xml:space="preserve">liés à la dotation complémentaire </w:t>
      </w:r>
      <w:r w:rsidR="00B524AD" w:rsidRPr="001C1E69">
        <w:rPr>
          <w:b/>
          <w:color w:val="1F497D" w:themeColor="text2"/>
        </w:rPr>
        <w:t xml:space="preserve">et </w:t>
      </w:r>
      <w:r>
        <w:rPr>
          <w:b/>
          <w:color w:val="1F497D" w:themeColor="text2"/>
        </w:rPr>
        <w:t xml:space="preserve">prévoir des </w:t>
      </w:r>
      <w:r w:rsidRPr="001C1E69">
        <w:rPr>
          <w:b/>
          <w:color w:val="1F497D" w:themeColor="text2"/>
        </w:rPr>
        <w:t>indicateurs de réalisation spécifiques.</w:t>
      </w:r>
    </w:p>
    <w:p w14:paraId="6C78A4F2" w14:textId="1E819D47" w:rsidR="001C62DC" w:rsidRDefault="001C1E69" w:rsidP="00FD3195">
      <w:pPr>
        <w:ind w:firstLine="708"/>
        <w:jc w:val="both"/>
        <w:rPr>
          <w:b/>
          <w:color w:val="1F497D" w:themeColor="text2"/>
        </w:rPr>
      </w:pPr>
      <w:r w:rsidRPr="001C1E69">
        <w:rPr>
          <w:b/>
          <w:color w:val="1F497D" w:themeColor="text2"/>
        </w:rPr>
        <w:t>→</w:t>
      </w:r>
      <w:r>
        <w:rPr>
          <w:b/>
          <w:color w:val="1F497D" w:themeColor="text2"/>
        </w:rPr>
        <w:t xml:space="preserve"> </w:t>
      </w:r>
      <w:r w:rsidR="00EC0F74">
        <w:rPr>
          <w:b/>
          <w:color w:val="1F497D" w:themeColor="text2"/>
        </w:rPr>
        <w:t>Proscrire</w:t>
      </w:r>
      <w:r>
        <w:rPr>
          <w:b/>
          <w:color w:val="1F497D" w:themeColor="text2"/>
        </w:rPr>
        <w:t xml:space="preserve"> les objectifs rappelant des obligations légales ou transférant aux services des prérogatives de puissance publique</w:t>
      </w:r>
    </w:p>
    <w:p w14:paraId="1CF84A11" w14:textId="41F24C47" w:rsidR="001C1E69" w:rsidRDefault="001C1E69" w:rsidP="006D01B0">
      <w:pPr>
        <w:jc w:val="both"/>
      </w:pPr>
      <w:r w:rsidRPr="001C1E69">
        <w:t>Un CPOM ne doit pas indiquer des objectifs de respect du droit</w:t>
      </w:r>
      <w:r w:rsidR="0082072F">
        <w:t> :</w:t>
      </w:r>
      <w:r w:rsidRPr="001C1E69">
        <w:t xml:space="preserve"> respect du droit du travail</w:t>
      </w:r>
      <w:r w:rsidR="0082072F">
        <w:t xml:space="preserve">, </w:t>
      </w:r>
      <w:r>
        <w:t>obligations des services en matière de droits et d’informations des usagers tels que définis dans le code des affaires sociales et des familles</w:t>
      </w:r>
      <w:r w:rsidR="0082072F">
        <w:t>, obligations en matière de traitement des données à caractère personnel ou encore en matière de facturation et d’information du consommateur..</w:t>
      </w:r>
      <w:r w:rsidRPr="001C1E69">
        <w:t>.</w:t>
      </w:r>
    </w:p>
    <w:p w14:paraId="5C545401" w14:textId="602FA802" w:rsidR="001C1E69" w:rsidRDefault="001C1E69" w:rsidP="006D01B0">
      <w:pPr>
        <w:jc w:val="both"/>
      </w:pPr>
      <w:r>
        <w:t>De même, sont à proscrire des objectifs confiant au service des prérogatives relevant du conseil départemental.</w:t>
      </w:r>
    </w:p>
    <w:p w14:paraId="1F4D4B6A" w14:textId="3E2173DC" w:rsidR="00DF63AE" w:rsidRDefault="00DF63AE" w:rsidP="006D01B0">
      <w:pPr>
        <w:jc w:val="both"/>
      </w:pPr>
    </w:p>
    <w:p w14:paraId="24669338" w14:textId="6B0F1247" w:rsidR="00DF63AE" w:rsidRPr="004A5177" w:rsidRDefault="00EC0F74" w:rsidP="006D01B0">
      <w:pPr>
        <w:jc w:val="both"/>
        <w:rPr>
          <w:b/>
        </w:rPr>
      </w:pPr>
      <w:r>
        <w:rPr>
          <w:b/>
        </w:rPr>
        <w:t>4-2</w:t>
      </w:r>
      <w:r w:rsidR="004A5177" w:rsidRPr="004A5177">
        <w:rPr>
          <w:b/>
        </w:rPr>
        <w:t xml:space="preserve"> </w:t>
      </w:r>
      <w:r w:rsidR="00DF63AE" w:rsidRPr="004A5177">
        <w:rPr>
          <w:b/>
        </w:rPr>
        <w:t>Les indicateurs</w:t>
      </w:r>
    </w:p>
    <w:p w14:paraId="35A72B2A" w14:textId="305CDA79" w:rsidR="003C77B9" w:rsidRDefault="00670D1B" w:rsidP="006D01B0">
      <w:pPr>
        <w:ind w:firstLine="708"/>
        <w:jc w:val="both"/>
      </w:pPr>
      <w:r w:rsidRPr="00670D1B">
        <w:rPr>
          <w:rFonts w:cstheme="minorHAnsi"/>
          <w:b/>
          <w:color w:val="1F497D" w:themeColor="text2"/>
        </w:rPr>
        <w:t>→</w:t>
      </w:r>
      <w:r w:rsidRPr="00670D1B">
        <w:rPr>
          <w:b/>
          <w:color w:val="1F497D" w:themeColor="text2"/>
        </w:rPr>
        <w:t xml:space="preserve"> Assortir</w:t>
      </w:r>
      <w:r w:rsidR="001C1E69">
        <w:rPr>
          <w:b/>
          <w:color w:val="1F497D" w:themeColor="text2"/>
        </w:rPr>
        <w:t xml:space="preserve"> systématiquement</w:t>
      </w:r>
      <w:r w:rsidRPr="00670D1B">
        <w:rPr>
          <w:b/>
          <w:color w:val="1F497D" w:themeColor="text2"/>
        </w:rPr>
        <w:t xml:space="preserve"> les objectifs opérationnels </w:t>
      </w:r>
      <w:r w:rsidR="003C77B9" w:rsidRPr="00670D1B">
        <w:rPr>
          <w:b/>
          <w:color w:val="1F497D" w:themeColor="text2"/>
        </w:rPr>
        <w:t>d’indicateurs de suivi et de résultats</w:t>
      </w:r>
      <w:r w:rsidR="003C77B9" w:rsidRPr="00670D1B">
        <w:rPr>
          <w:color w:val="1F497D" w:themeColor="text2"/>
        </w:rPr>
        <w:t xml:space="preserve"> </w:t>
      </w:r>
      <w:r w:rsidRPr="00670D1B">
        <w:rPr>
          <w:b/>
          <w:color w:val="1F497D" w:themeColor="text2"/>
        </w:rPr>
        <w:t xml:space="preserve">et d’un calendrier prévisionnel de réalisation </w:t>
      </w:r>
      <w:r w:rsidR="003C77B9" w:rsidRPr="00A5706F">
        <w:t>permettant de mesurer le niveau d’atteinte de ces objectifs</w:t>
      </w:r>
      <w:r w:rsidR="003C77B9">
        <w:t>.</w:t>
      </w:r>
    </w:p>
    <w:p w14:paraId="692FC658" w14:textId="77777777" w:rsidR="003C77B9" w:rsidRPr="00A5706F" w:rsidRDefault="003C77B9" w:rsidP="006D01B0">
      <w:pPr>
        <w:jc w:val="both"/>
      </w:pPr>
      <w:r w:rsidRPr="00A5706F">
        <w:t xml:space="preserve">Ces </w:t>
      </w:r>
      <w:r>
        <w:t>indicateurs doivent être</w:t>
      </w:r>
      <w:r w:rsidRPr="00A5706F">
        <w:t xml:space="preserve"> en </w:t>
      </w:r>
      <w:r w:rsidRPr="006D01B0">
        <w:rPr>
          <w:b/>
        </w:rPr>
        <w:t>nombre réduit</w:t>
      </w:r>
      <w:r w:rsidRPr="00A5706F">
        <w:t>.</w:t>
      </w:r>
    </w:p>
    <w:p w14:paraId="67329B04" w14:textId="5FAEEEB1" w:rsidR="006D01B0" w:rsidRPr="00DF63AE" w:rsidRDefault="003C77B9" w:rsidP="00DF63AE">
      <w:pPr>
        <w:jc w:val="both"/>
      </w:pPr>
      <w:r w:rsidRPr="00670D1B">
        <w:t xml:space="preserve">Une </w:t>
      </w:r>
      <w:r w:rsidRPr="00C563CB">
        <w:rPr>
          <w:b/>
        </w:rPr>
        <w:t>présentation synthétique</w:t>
      </w:r>
      <w:r w:rsidR="00670D1B" w:rsidRPr="00C563CB">
        <w:rPr>
          <w:b/>
        </w:rPr>
        <w:t>, sous forme d’un tableau</w:t>
      </w:r>
      <w:r w:rsidR="00670D1B">
        <w:t>,</w:t>
      </w:r>
      <w:r w:rsidRPr="00670D1B">
        <w:t xml:space="preserve"> des objectifs, des indicateurs et du calendrier prévisionnel de réalisation est </w:t>
      </w:r>
      <w:r w:rsidRPr="006D01B0">
        <w:rPr>
          <w:b/>
        </w:rPr>
        <w:t>annexée au contrat</w:t>
      </w:r>
      <w:r w:rsidR="00670D1B">
        <w:t>.</w:t>
      </w:r>
    </w:p>
    <w:p w14:paraId="05B69D0F" w14:textId="19026E65" w:rsidR="00670D1B" w:rsidRPr="00DF63AE" w:rsidRDefault="00670D1B" w:rsidP="00670D1B">
      <w:r w:rsidRPr="00DF63AE">
        <w:t>Exemple de tableau de suivi de la réalisation des objectifs </w:t>
      </w:r>
      <w:r w:rsidR="00E86C0D">
        <w:t xml:space="preserve">(à adapter) </w:t>
      </w:r>
      <w:r w:rsidRPr="00DF63AE">
        <w:t>:</w:t>
      </w:r>
    </w:p>
    <w:tbl>
      <w:tblPr>
        <w:tblStyle w:val="Grilledutableau"/>
        <w:tblW w:w="0" w:type="auto"/>
        <w:jc w:val="center"/>
        <w:tblLayout w:type="fixed"/>
        <w:tblLook w:val="04A0" w:firstRow="1" w:lastRow="0" w:firstColumn="1" w:lastColumn="0" w:noHBand="0" w:noVBand="1"/>
      </w:tblPr>
      <w:tblGrid>
        <w:gridCol w:w="1313"/>
        <w:gridCol w:w="1447"/>
        <w:gridCol w:w="1204"/>
        <w:gridCol w:w="1012"/>
        <w:gridCol w:w="791"/>
        <w:gridCol w:w="659"/>
        <w:gridCol w:w="659"/>
        <w:gridCol w:w="659"/>
        <w:gridCol w:w="659"/>
        <w:gridCol w:w="659"/>
      </w:tblGrid>
      <w:tr w:rsidR="00670D1B" w14:paraId="5AA7EC3A" w14:textId="77777777" w:rsidTr="0021176F">
        <w:trPr>
          <w:jc w:val="center"/>
        </w:trPr>
        <w:tc>
          <w:tcPr>
            <w:tcW w:w="1313" w:type="dxa"/>
            <w:shd w:val="clear" w:color="auto" w:fill="FFC000"/>
            <w:vAlign w:val="center"/>
          </w:tcPr>
          <w:p w14:paraId="49B3EB4A" w14:textId="77777777" w:rsidR="00670D1B" w:rsidRPr="0021176F" w:rsidRDefault="00670D1B" w:rsidP="00D027D9">
            <w:pPr>
              <w:jc w:val="center"/>
              <w:rPr>
                <w:sz w:val="18"/>
              </w:rPr>
            </w:pPr>
            <w:r w:rsidRPr="0021176F">
              <w:rPr>
                <w:sz w:val="18"/>
              </w:rPr>
              <w:t>Objectifs stratégiques</w:t>
            </w:r>
          </w:p>
        </w:tc>
        <w:tc>
          <w:tcPr>
            <w:tcW w:w="1447" w:type="dxa"/>
            <w:shd w:val="clear" w:color="auto" w:fill="FFC000"/>
            <w:vAlign w:val="center"/>
          </w:tcPr>
          <w:p w14:paraId="1656617C" w14:textId="77777777" w:rsidR="00670D1B" w:rsidRPr="0021176F" w:rsidRDefault="00670D1B" w:rsidP="00D027D9">
            <w:pPr>
              <w:jc w:val="center"/>
              <w:rPr>
                <w:sz w:val="18"/>
              </w:rPr>
            </w:pPr>
            <w:r w:rsidRPr="0021176F">
              <w:rPr>
                <w:sz w:val="18"/>
              </w:rPr>
              <w:t>Objectifs opérationnels</w:t>
            </w:r>
          </w:p>
        </w:tc>
        <w:tc>
          <w:tcPr>
            <w:tcW w:w="1204" w:type="dxa"/>
            <w:shd w:val="clear" w:color="auto" w:fill="FFC000"/>
            <w:vAlign w:val="center"/>
          </w:tcPr>
          <w:p w14:paraId="0AE67F3B" w14:textId="77777777" w:rsidR="00670D1B" w:rsidRPr="0021176F" w:rsidRDefault="00670D1B" w:rsidP="00D027D9">
            <w:pPr>
              <w:jc w:val="center"/>
              <w:rPr>
                <w:sz w:val="18"/>
              </w:rPr>
            </w:pPr>
            <w:r w:rsidRPr="0021176F">
              <w:rPr>
                <w:sz w:val="18"/>
              </w:rPr>
              <w:t>Indicateurs de suivi</w:t>
            </w:r>
          </w:p>
        </w:tc>
        <w:tc>
          <w:tcPr>
            <w:tcW w:w="1012" w:type="dxa"/>
            <w:shd w:val="clear" w:color="auto" w:fill="FFC000"/>
            <w:vAlign w:val="center"/>
          </w:tcPr>
          <w:p w14:paraId="47ABC237" w14:textId="77777777" w:rsidR="00670D1B" w:rsidRPr="0021176F" w:rsidRDefault="00670D1B" w:rsidP="00D027D9">
            <w:pPr>
              <w:jc w:val="center"/>
              <w:rPr>
                <w:sz w:val="18"/>
              </w:rPr>
            </w:pPr>
            <w:r w:rsidRPr="0021176F">
              <w:rPr>
                <w:sz w:val="18"/>
              </w:rPr>
              <w:t>Situation initiale</w:t>
            </w:r>
          </w:p>
          <w:p w14:paraId="23469245" w14:textId="77777777" w:rsidR="00670D1B" w:rsidRPr="0021176F" w:rsidRDefault="00670D1B" w:rsidP="00D027D9">
            <w:pPr>
              <w:jc w:val="center"/>
              <w:rPr>
                <w:sz w:val="18"/>
              </w:rPr>
            </w:pPr>
            <w:r w:rsidRPr="0021176F">
              <w:rPr>
                <w:sz w:val="18"/>
              </w:rPr>
              <w:t>(2022)</w:t>
            </w:r>
          </w:p>
        </w:tc>
        <w:tc>
          <w:tcPr>
            <w:tcW w:w="791" w:type="dxa"/>
            <w:shd w:val="clear" w:color="auto" w:fill="FFC000"/>
            <w:vAlign w:val="center"/>
          </w:tcPr>
          <w:p w14:paraId="6566362F" w14:textId="77777777" w:rsidR="00670D1B" w:rsidRPr="0021176F" w:rsidRDefault="00670D1B" w:rsidP="00D027D9">
            <w:pPr>
              <w:jc w:val="center"/>
              <w:rPr>
                <w:sz w:val="18"/>
              </w:rPr>
            </w:pPr>
            <w:r w:rsidRPr="0021176F">
              <w:rPr>
                <w:sz w:val="18"/>
              </w:rPr>
              <w:t>Cible CPOM</w:t>
            </w:r>
          </w:p>
          <w:p w14:paraId="1D39901A" w14:textId="77777777" w:rsidR="00670D1B" w:rsidRPr="0021176F" w:rsidRDefault="00670D1B" w:rsidP="00D027D9">
            <w:pPr>
              <w:jc w:val="center"/>
              <w:rPr>
                <w:sz w:val="18"/>
              </w:rPr>
            </w:pPr>
            <w:r w:rsidRPr="0021176F">
              <w:rPr>
                <w:sz w:val="18"/>
              </w:rPr>
              <w:t>(2027)</w:t>
            </w:r>
          </w:p>
        </w:tc>
        <w:tc>
          <w:tcPr>
            <w:tcW w:w="659" w:type="dxa"/>
            <w:shd w:val="clear" w:color="auto" w:fill="C6D9F1" w:themeFill="text2" w:themeFillTint="33"/>
            <w:vAlign w:val="center"/>
          </w:tcPr>
          <w:p w14:paraId="445A05EB" w14:textId="77777777" w:rsidR="00670D1B" w:rsidRPr="0021176F" w:rsidRDefault="00670D1B" w:rsidP="00D027D9">
            <w:pPr>
              <w:jc w:val="center"/>
              <w:rPr>
                <w:sz w:val="18"/>
              </w:rPr>
            </w:pPr>
            <w:r w:rsidRPr="0021176F">
              <w:rPr>
                <w:sz w:val="18"/>
              </w:rPr>
              <w:t>2023</w:t>
            </w:r>
          </w:p>
        </w:tc>
        <w:tc>
          <w:tcPr>
            <w:tcW w:w="659" w:type="dxa"/>
            <w:shd w:val="clear" w:color="auto" w:fill="C6D9F1" w:themeFill="text2" w:themeFillTint="33"/>
            <w:vAlign w:val="center"/>
          </w:tcPr>
          <w:p w14:paraId="4CA1E55B" w14:textId="77777777" w:rsidR="00670D1B" w:rsidRPr="0021176F" w:rsidRDefault="00670D1B" w:rsidP="00D027D9">
            <w:pPr>
              <w:jc w:val="center"/>
              <w:rPr>
                <w:sz w:val="18"/>
              </w:rPr>
            </w:pPr>
            <w:r w:rsidRPr="0021176F">
              <w:rPr>
                <w:sz w:val="18"/>
              </w:rPr>
              <w:t>2024</w:t>
            </w:r>
          </w:p>
        </w:tc>
        <w:tc>
          <w:tcPr>
            <w:tcW w:w="659" w:type="dxa"/>
            <w:shd w:val="clear" w:color="auto" w:fill="C6D9F1" w:themeFill="text2" w:themeFillTint="33"/>
            <w:vAlign w:val="center"/>
          </w:tcPr>
          <w:p w14:paraId="79E8BDDB" w14:textId="77777777" w:rsidR="00670D1B" w:rsidRPr="0021176F" w:rsidRDefault="00670D1B" w:rsidP="00D027D9">
            <w:pPr>
              <w:jc w:val="center"/>
              <w:rPr>
                <w:sz w:val="18"/>
              </w:rPr>
            </w:pPr>
            <w:r w:rsidRPr="0021176F">
              <w:rPr>
                <w:sz w:val="18"/>
              </w:rPr>
              <w:t>2025</w:t>
            </w:r>
          </w:p>
        </w:tc>
        <w:tc>
          <w:tcPr>
            <w:tcW w:w="659" w:type="dxa"/>
            <w:shd w:val="clear" w:color="auto" w:fill="C6D9F1" w:themeFill="text2" w:themeFillTint="33"/>
            <w:vAlign w:val="center"/>
          </w:tcPr>
          <w:p w14:paraId="70C866AD" w14:textId="77777777" w:rsidR="00670D1B" w:rsidRPr="0021176F" w:rsidRDefault="00670D1B" w:rsidP="00D027D9">
            <w:pPr>
              <w:jc w:val="center"/>
              <w:rPr>
                <w:sz w:val="18"/>
              </w:rPr>
            </w:pPr>
            <w:r w:rsidRPr="0021176F">
              <w:rPr>
                <w:sz w:val="18"/>
              </w:rPr>
              <w:t>2026</w:t>
            </w:r>
          </w:p>
        </w:tc>
        <w:tc>
          <w:tcPr>
            <w:tcW w:w="659" w:type="dxa"/>
            <w:shd w:val="clear" w:color="auto" w:fill="C6D9F1" w:themeFill="text2" w:themeFillTint="33"/>
            <w:vAlign w:val="center"/>
          </w:tcPr>
          <w:p w14:paraId="5317FF3F" w14:textId="77777777" w:rsidR="00670D1B" w:rsidRPr="0021176F" w:rsidRDefault="00670D1B" w:rsidP="00D027D9">
            <w:pPr>
              <w:jc w:val="center"/>
              <w:rPr>
                <w:sz w:val="18"/>
              </w:rPr>
            </w:pPr>
            <w:r w:rsidRPr="0021176F">
              <w:rPr>
                <w:sz w:val="18"/>
              </w:rPr>
              <w:t>2027</w:t>
            </w:r>
          </w:p>
        </w:tc>
      </w:tr>
      <w:tr w:rsidR="00670D1B" w14:paraId="4FEAE8AF" w14:textId="77777777" w:rsidTr="0021176F">
        <w:trPr>
          <w:jc w:val="center"/>
        </w:trPr>
        <w:tc>
          <w:tcPr>
            <w:tcW w:w="1313" w:type="dxa"/>
          </w:tcPr>
          <w:p w14:paraId="771E4CD3" w14:textId="77777777" w:rsidR="00670D1B" w:rsidRDefault="00670D1B" w:rsidP="00D027D9"/>
        </w:tc>
        <w:tc>
          <w:tcPr>
            <w:tcW w:w="1447" w:type="dxa"/>
          </w:tcPr>
          <w:p w14:paraId="60764019" w14:textId="77777777" w:rsidR="00670D1B" w:rsidRDefault="00670D1B" w:rsidP="00D027D9"/>
        </w:tc>
        <w:tc>
          <w:tcPr>
            <w:tcW w:w="1204" w:type="dxa"/>
          </w:tcPr>
          <w:p w14:paraId="3385EC41" w14:textId="77777777" w:rsidR="00670D1B" w:rsidRDefault="00670D1B" w:rsidP="00D027D9"/>
        </w:tc>
        <w:tc>
          <w:tcPr>
            <w:tcW w:w="1012" w:type="dxa"/>
          </w:tcPr>
          <w:p w14:paraId="33C5460B" w14:textId="77777777" w:rsidR="00670D1B" w:rsidRDefault="00670D1B" w:rsidP="00D027D9"/>
        </w:tc>
        <w:tc>
          <w:tcPr>
            <w:tcW w:w="791" w:type="dxa"/>
          </w:tcPr>
          <w:p w14:paraId="321CD1F7" w14:textId="77777777" w:rsidR="00670D1B" w:rsidRDefault="00670D1B" w:rsidP="00D027D9"/>
        </w:tc>
        <w:tc>
          <w:tcPr>
            <w:tcW w:w="659" w:type="dxa"/>
          </w:tcPr>
          <w:p w14:paraId="16AFAC87" w14:textId="77777777" w:rsidR="00670D1B" w:rsidRDefault="00670D1B" w:rsidP="00D027D9"/>
        </w:tc>
        <w:tc>
          <w:tcPr>
            <w:tcW w:w="659" w:type="dxa"/>
          </w:tcPr>
          <w:p w14:paraId="6C7A6891" w14:textId="77777777" w:rsidR="00670D1B" w:rsidRDefault="00670D1B" w:rsidP="00D027D9"/>
        </w:tc>
        <w:tc>
          <w:tcPr>
            <w:tcW w:w="659" w:type="dxa"/>
          </w:tcPr>
          <w:p w14:paraId="2F0A855A" w14:textId="77777777" w:rsidR="00670D1B" w:rsidRDefault="00670D1B" w:rsidP="00D027D9"/>
        </w:tc>
        <w:tc>
          <w:tcPr>
            <w:tcW w:w="659" w:type="dxa"/>
          </w:tcPr>
          <w:p w14:paraId="41AA9F25" w14:textId="77777777" w:rsidR="00670D1B" w:rsidRDefault="00670D1B" w:rsidP="00D027D9"/>
        </w:tc>
        <w:tc>
          <w:tcPr>
            <w:tcW w:w="659" w:type="dxa"/>
          </w:tcPr>
          <w:p w14:paraId="49A812ED" w14:textId="77777777" w:rsidR="00670D1B" w:rsidRDefault="00670D1B" w:rsidP="00D027D9"/>
        </w:tc>
      </w:tr>
      <w:tr w:rsidR="00670D1B" w14:paraId="6519F83D" w14:textId="77777777" w:rsidTr="0021176F">
        <w:trPr>
          <w:jc w:val="center"/>
        </w:trPr>
        <w:tc>
          <w:tcPr>
            <w:tcW w:w="1313" w:type="dxa"/>
          </w:tcPr>
          <w:p w14:paraId="01ED7292" w14:textId="77777777" w:rsidR="00670D1B" w:rsidRDefault="00670D1B" w:rsidP="00D027D9"/>
        </w:tc>
        <w:tc>
          <w:tcPr>
            <w:tcW w:w="1447" w:type="dxa"/>
          </w:tcPr>
          <w:p w14:paraId="0D50FB39" w14:textId="77777777" w:rsidR="00670D1B" w:rsidRDefault="00670D1B" w:rsidP="00D027D9"/>
        </w:tc>
        <w:tc>
          <w:tcPr>
            <w:tcW w:w="1204" w:type="dxa"/>
          </w:tcPr>
          <w:p w14:paraId="76C26551" w14:textId="77777777" w:rsidR="00670D1B" w:rsidRDefault="00670D1B" w:rsidP="00D027D9"/>
        </w:tc>
        <w:tc>
          <w:tcPr>
            <w:tcW w:w="1012" w:type="dxa"/>
          </w:tcPr>
          <w:p w14:paraId="1AB5BA52" w14:textId="77777777" w:rsidR="00670D1B" w:rsidRDefault="00670D1B" w:rsidP="00D027D9"/>
        </w:tc>
        <w:tc>
          <w:tcPr>
            <w:tcW w:w="791" w:type="dxa"/>
          </w:tcPr>
          <w:p w14:paraId="48B9A7B1" w14:textId="77777777" w:rsidR="00670D1B" w:rsidRDefault="00670D1B" w:rsidP="00D027D9"/>
        </w:tc>
        <w:tc>
          <w:tcPr>
            <w:tcW w:w="659" w:type="dxa"/>
          </w:tcPr>
          <w:p w14:paraId="15630B38" w14:textId="77777777" w:rsidR="00670D1B" w:rsidRDefault="00670D1B" w:rsidP="00D027D9"/>
        </w:tc>
        <w:tc>
          <w:tcPr>
            <w:tcW w:w="659" w:type="dxa"/>
          </w:tcPr>
          <w:p w14:paraId="13B215A0" w14:textId="77777777" w:rsidR="00670D1B" w:rsidRDefault="00670D1B" w:rsidP="00D027D9"/>
        </w:tc>
        <w:tc>
          <w:tcPr>
            <w:tcW w:w="659" w:type="dxa"/>
          </w:tcPr>
          <w:p w14:paraId="31F44A08" w14:textId="77777777" w:rsidR="00670D1B" w:rsidRDefault="00670D1B" w:rsidP="00D027D9"/>
        </w:tc>
        <w:tc>
          <w:tcPr>
            <w:tcW w:w="659" w:type="dxa"/>
          </w:tcPr>
          <w:p w14:paraId="03C8E383" w14:textId="77777777" w:rsidR="00670D1B" w:rsidRDefault="00670D1B" w:rsidP="00D027D9"/>
        </w:tc>
        <w:tc>
          <w:tcPr>
            <w:tcW w:w="659" w:type="dxa"/>
          </w:tcPr>
          <w:p w14:paraId="4CCCBA75" w14:textId="77777777" w:rsidR="00670D1B" w:rsidRDefault="00670D1B" w:rsidP="00D027D9"/>
        </w:tc>
      </w:tr>
    </w:tbl>
    <w:p w14:paraId="64CDA79C" w14:textId="5F4298AA" w:rsidR="00CF07B3" w:rsidRDefault="00CF07B3" w:rsidP="003C77B9"/>
    <w:p w14:paraId="18E7A1C7" w14:textId="72E1304B" w:rsidR="00F265A9" w:rsidRDefault="00DF63AE" w:rsidP="003C77B9">
      <w:r>
        <w:t xml:space="preserve">Autre exemple </w:t>
      </w:r>
      <w:r w:rsidR="00F265A9">
        <w:t>(avec actions</w:t>
      </w:r>
      <w:r w:rsidR="001362C1">
        <w:t>, à adapter</w:t>
      </w:r>
      <w:r w:rsidR="00F265A9">
        <w:t>) :</w:t>
      </w:r>
    </w:p>
    <w:tbl>
      <w:tblPr>
        <w:tblStyle w:val="Grilledutableau"/>
        <w:tblW w:w="9356" w:type="dxa"/>
        <w:jc w:val="center"/>
        <w:tblLayout w:type="fixed"/>
        <w:tblLook w:val="04A0" w:firstRow="1" w:lastRow="0" w:firstColumn="1" w:lastColumn="0" w:noHBand="0" w:noVBand="1"/>
      </w:tblPr>
      <w:tblGrid>
        <w:gridCol w:w="851"/>
        <w:gridCol w:w="992"/>
        <w:gridCol w:w="709"/>
        <w:gridCol w:w="1134"/>
        <w:gridCol w:w="1276"/>
        <w:gridCol w:w="850"/>
        <w:gridCol w:w="709"/>
        <w:gridCol w:w="567"/>
        <w:gridCol w:w="567"/>
        <w:gridCol w:w="567"/>
        <w:gridCol w:w="567"/>
        <w:gridCol w:w="567"/>
      </w:tblGrid>
      <w:tr w:rsidR="00DF63AE" w:rsidRPr="00CF07B3" w14:paraId="55D6F8D0" w14:textId="77777777" w:rsidTr="0021176F">
        <w:trPr>
          <w:trHeight w:val="925"/>
          <w:jc w:val="center"/>
        </w:trPr>
        <w:tc>
          <w:tcPr>
            <w:tcW w:w="851" w:type="dxa"/>
            <w:shd w:val="clear" w:color="auto" w:fill="FFC000"/>
            <w:vAlign w:val="center"/>
          </w:tcPr>
          <w:p w14:paraId="520EE9A2" w14:textId="6DBF4074" w:rsidR="00F265A9" w:rsidRPr="00DF63AE" w:rsidRDefault="00F265A9" w:rsidP="00DF63AE">
            <w:pPr>
              <w:jc w:val="center"/>
              <w:rPr>
                <w:sz w:val="16"/>
              </w:rPr>
            </w:pPr>
            <w:r w:rsidRPr="00DF63AE">
              <w:rPr>
                <w:sz w:val="16"/>
              </w:rPr>
              <w:t>Obj</w:t>
            </w:r>
            <w:r w:rsidR="00DF63AE">
              <w:rPr>
                <w:sz w:val="16"/>
              </w:rPr>
              <w:t>ectifs</w:t>
            </w:r>
            <w:r w:rsidR="00DF63AE" w:rsidRPr="00DF63AE">
              <w:rPr>
                <w:sz w:val="16"/>
              </w:rPr>
              <w:t xml:space="preserve">. </w:t>
            </w:r>
            <w:proofErr w:type="spellStart"/>
            <w:r w:rsidR="0021176F" w:rsidRPr="00DF63AE">
              <w:rPr>
                <w:sz w:val="16"/>
              </w:rPr>
              <w:t>S</w:t>
            </w:r>
            <w:r w:rsidR="00DF63AE" w:rsidRPr="00DF63AE">
              <w:rPr>
                <w:sz w:val="16"/>
              </w:rPr>
              <w:t>traté</w:t>
            </w:r>
            <w:r w:rsidR="0021176F">
              <w:rPr>
                <w:sz w:val="16"/>
              </w:rPr>
              <w:t>-</w:t>
            </w:r>
            <w:r w:rsidR="00DF63AE" w:rsidRPr="00DF63AE">
              <w:rPr>
                <w:sz w:val="16"/>
              </w:rPr>
              <w:t>giques</w:t>
            </w:r>
            <w:proofErr w:type="spellEnd"/>
          </w:p>
        </w:tc>
        <w:tc>
          <w:tcPr>
            <w:tcW w:w="992" w:type="dxa"/>
            <w:shd w:val="clear" w:color="auto" w:fill="FFC000"/>
            <w:vAlign w:val="center"/>
          </w:tcPr>
          <w:p w14:paraId="2125D4D4" w14:textId="41D1DCD5" w:rsidR="00F265A9" w:rsidRPr="00DF63AE" w:rsidRDefault="0021176F" w:rsidP="00D027D9">
            <w:pPr>
              <w:jc w:val="center"/>
              <w:rPr>
                <w:sz w:val="16"/>
              </w:rPr>
            </w:pPr>
            <w:r>
              <w:rPr>
                <w:sz w:val="16"/>
              </w:rPr>
              <w:t xml:space="preserve">Objectifs </w:t>
            </w:r>
            <w:proofErr w:type="spellStart"/>
            <w:r>
              <w:rPr>
                <w:sz w:val="16"/>
              </w:rPr>
              <w:t>opération-</w:t>
            </w:r>
            <w:r w:rsidR="00F265A9" w:rsidRPr="00DF63AE">
              <w:rPr>
                <w:sz w:val="16"/>
              </w:rPr>
              <w:t>nels</w:t>
            </w:r>
            <w:proofErr w:type="spellEnd"/>
          </w:p>
        </w:tc>
        <w:tc>
          <w:tcPr>
            <w:tcW w:w="709" w:type="dxa"/>
            <w:shd w:val="clear" w:color="auto" w:fill="FFC000"/>
            <w:vAlign w:val="center"/>
          </w:tcPr>
          <w:p w14:paraId="43628ED9" w14:textId="77777777" w:rsidR="00F265A9" w:rsidRPr="00DF63AE" w:rsidRDefault="00F265A9" w:rsidP="00D027D9">
            <w:pPr>
              <w:jc w:val="center"/>
              <w:rPr>
                <w:sz w:val="16"/>
              </w:rPr>
            </w:pPr>
          </w:p>
          <w:p w14:paraId="370EFFC3" w14:textId="77777777" w:rsidR="00F265A9" w:rsidRPr="00DF63AE" w:rsidRDefault="00F265A9" w:rsidP="00D027D9">
            <w:pPr>
              <w:jc w:val="center"/>
              <w:rPr>
                <w:sz w:val="16"/>
              </w:rPr>
            </w:pPr>
            <w:r w:rsidRPr="00DF63AE">
              <w:rPr>
                <w:sz w:val="16"/>
              </w:rPr>
              <w:t>Actions</w:t>
            </w:r>
          </w:p>
        </w:tc>
        <w:tc>
          <w:tcPr>
            <w:tcW w:w="1134" w:type="dxa"/>
            <w:shd w:val="clear" w:color="auto" w:fill="FFC000"/>
            <w:vAlign w:val="center"/>
          </w:tcPr>
          <w:p w14:paraId="5576A904" w14:textId="77777777" w:rsidR="00F265A9" w:rsidRPr="00DF63AE" w:rsidRDefault="00F265A9" w:rsidP="00D027D9">
            <w:pPr>
              <w:jc w:val="center"/>
              <w:rPr>
                <w:sz w:val="16"/>
              </w:rPr>
            </w:pPr>
            <w:r w:rsidRPr="00DF63AE">
              <w:rPr>
                <w:sz w:val="16"/>
              </w:rPr>
              <w:t>Indicateurs de suivi</w:t>
            </w:r>
          </w:p>
          <w:p w14:paraId="443EDBBD" w14:textId="77777777" w:rsidR="00F265A9" w:rsidRPr="00DF63AE" w:rsidRDefault="00F265A9" w:rsidP="00D027D9">
            <w:pPr>
              <w:jc w:val="center"/>
              <w:rPr>
                <w:sz w:val="16"/>
              </w:rPr>
            </w:pPr>
            <w:r w:rsidRPr="00DF63AE">
              <w:rPr>
                <w:sz w:val="16"/>
              </w:rPr>
              <w:t>(des actions)</w:t>
            </w:r>
          </w:p>
        </w:tc>
        <w:tc>
          <w:tcPr>
            <w:tcW w:w="1276" w:type="dxa"/>
            <w:shd w:val="clear" w:color="auto" w:fill="FFC000"/>
            <w:vAlign w:val="center"/>
          </w:tcPr>
          <w:p w14:paraId="3A80C0F8" w14:textId="77777777" w:rsidR="00F265A9" w:rsidRPr="00DF63AE" w:rsidRDefault="00F265A9" w:rsidP="00D027D9">
            <w:pPr>
              <w:jc w:val="center"/>
              <w:rPr>
                <w:sz w:val="16"/>
              </w:rPr>
            </w:pPr>
            <w:r w:rsidRPr="00DF63AE">
              <w:rPr>
                <w:sz w:val="16"/>
              </w:rPr>
              <w:t>Indicateurs de suivi (des objectifs opérationnels)</w:t>
            </w:r>
          </w:p>
        </w:tc>
        <w:tc>
          <w:tcPr>
            <w:tcW w:w="850" w:type="dxa"/>
            <w:shd w:val="clear" w:color="auto" w:fill="FFC000"/>
            <w:vAlign w:val="center"/>
          </w:tcPr>
          <w:p w14:paraId="7877C5BA" w14:textId="77777777" w:rsidR="00F265A9" w:rsidRPr="00DF63AE" w:rsidRDefault="00F265A9" w:rsidP="00D027D9">
            <w:pPr>
              <w:jc w:val="center"/>
              <w:rPr>
                <w:sz w:val="16"/>
              </w:rPr>
            </w:pPr>
            <w:r w:rsidRPr="00DF63AE">
              <w:rPr>
                <w:sz w:val="16"/>
              </w:rPr>
              <w:t>Situation initiale</w:t>
            </w:r>
          </w:p>
          <w:p w14:paraId="25E97665" w14:textId="77777777" w:rsidR="00F265A9" w:rsidRPr="00DF63AE" w:rsidRDefault="00F265A9" w:rsidP="00D027D9">
            <w:pPr>
              <w:jc w:val="center"/>
              <w:rPr>
                <w:sz w:val="16"/>
              </w:rPr>
            </w:pPr>
            <w:r w:rsidRPr="00DF63AE">
              <w:rPr>
                <w:sz w:val="16"/>
              </w:rPr>
              <w:t>(2022)</w:t>
            </w:r>
          </w:p>
        </w:tc>
        <w:tc>
          <w:tcPr>
            <w:tcW w:w="709" w:type="dxa"/>
            <w:shd w:val="clear" w:color="auto" w:fill="FFC000"/>
            <w:vAlign w:val="center"/>
          </w:tcPr>
          <w:p w14:paraId="086FC40E" w14:textId="77777777" w:rsidR="00F265A9" w:rsidRPr="00DF63AE" w:rsidRDefault="00F265A9" w:rsidP="00D027D9">
            <w:pPr>
              <w:jc w:val="center"/>
              <w:rPr>
                <w:sz w:val="16"/>
              </w:rPr>
            </w:pPr>
            <w:r w:rsidRPr="00DF63AE">
              <w:rPr>
                <w:sz w:val="16"/>
              </w:rPr>
              <w:t>Cible CPOM</w:t>
            </w:r>
          </w:p>
          <w:p w14:paraId="42C10BE0" w14:textId="77777777" w:rsidR="00F265A9" w:rsidRPr="00DF63AE" w:rsidRDefault="00F265A9" w:rsidP="00D027D9">
            <w:pPr>
              <w:jc w:val="center"/>
              <w:rPr>
                <w:sz w:val="16"/>
              </w:rPr>
            </w:pPr>
            <w:r w:rsidRPr="00DF63AE">
              <w:rPr>
                <w:sz w:val="16"/>
              </w:rPr>
              <w:t>(2027)</w:t>
            </w:r>
          </w:p>
        </w:tc>
        <w:tc>
          <w:tcPr>
            <w:tcW w:w="567" w:type="dxa"/>
            <w:shd w:val="clear" w:color="auto" w:fill="C6D9F1" w:themeFill="text2" w:themeFillTint="33"/>
            <w:vAlign w:val="center"/>
          </w:tcPr>
          <w:p w14:paraId="02F17276" w14:textId="77777777" w:rsidR="00F265A9" w:rsidRPr="00DF63AE" w:rsidRDefault="00F265A9" w:rsidP="00D027D9">
            <w:pPr>
              <w:jc w:val="center"/>
              <w:rPr>
                <w:sz w:val="16"/>
              </w:rPr>
            </w:pPr>
            <w:r w:rsidRPr="00DF63AE">
              <w:rPr>
                <w:sz w:val="16"/>
              </w:rPr>
              <w:t>2023</w:t>
            </w:r>
          </w:p>
        </w:tc>
        <w:tc>
          <w:tcPr>
            <w:tcW w:w="567" w:type="dxa"/>
            <w:shd w:val="clear" w:color="auto" w:fill="C6D9F1" w:themeFill="text2" w:themeFillTint="33"/>
            <w:vAlign w:val="center"/>
          </w:tcPr>
          <w:p w14:paraId="03C0C36E" w14:textId="77777777" w:rsidR="00F265A9" w:rsidRPr="00DF63AE" w:rsidRDefault="00F265A9" w:rsidP="00D027D9">
            <w:pPr>
              <w:jc w:val="center"/>
              <w:rPr>
                <w:sz w:val="16"/>
              </w:rPr>
            </w:pPr>
            <w:r w:rsidRPr="00DF63AE">
              <w:rPr>
                <w:sz w:val="16"/>
              </w:rPr>
              <w:t>2024</w:t>
            </w:r>
          </w:p>
        </w:tc>
        <w:tc>
          <w:tcPr>
            <w:tcW w:w="567" w:type="dxa"/>
            <w:shd w:val="clear" w:color="auto" w:fill="C6D9F1" w:themeFill="text2" w:themeFillTint="33"/>
            <w:vAlign w:val="center"/>
          </w:tcPr>
          <w:p w14:paraId="15160D09" w14:textId="77777777" w:rsidR="00F265A9" w:rsidRPr="00DF63AE" w:rsidRDefault="00F265A9" w:rsidP="00D027D9">
            <w:pPr>
              <w:jc w:val="center"/>
              <w:rPr>
                <w:sz w:val="16"/>
              </w:rPr>
            </w:pPr>
            <w:r w:rsidRPr="00DF63AE">
              <w:rPr>
                <w:sz w:val="16"/>
              </w:rPr>
              <w:t>2025</w:t>
            </w:r>
          </w:p>
        </w:tc>
        <w:tc>
          <w:tcPr>
            <w:tcW w:w="567" w:type="dxa"/>
            <w:shd w:val="clear" w:color="auto" w:fill="C6D9F1" w:themeFill="text2" w:themeFillTint="33"/>
            <w:vAlign w:val="center"/>
          </w:tcPr>
          <w:p w14:paraId="09FED3FA" w14:textId="77777777" w:rsidR="00F265A9" w:rsidRPr="00DF63AE" w:rsidRDefault="00F265A9" w:rsidP="00D027D9">
            <w:pPr>
              <w:jc w:val="center"/>
              <w:rPr>
                <w:sz w:val="16"/>
              </w:rPr>
            </w:pPr>
            <w:r w:rsidRPr="00DF63AE">
              <w:rPr>
                <w:sz w:val="16"/>
              </w:rPr>
              <w:t>2026</w:t>
            </w:r>
          </w:p>
        </w:tc>
        <w:tc>
          <w:tcPr>
            <w:tcW w:w="567" w:type="dxa"/>
            <w:shd w:val="clear" w:color="auto" w:fill="C6D9F1" w:themeFill="text2" w:themeFillTint="33"/>
            <w:vAlign w:val="center"/>
          </w:tcPr>
          <w:p w14:paraId="1016CD84" w14:textId="77777777" w:rsidR="00F265A9" w:rsidRPr="00DF63AE" w:rsidRDefault="00F265A9" w:rsidP="00D027D9">
            <w:pPr>
              <w:jc w:val="center"/>
              <w:rPr>
                <w:sz w:val="16"/>
              </w:rPr>
            </w:pPr>
            <w:r w:rsidRPr="00DF63AE">
              <w:rPr>
                <w:sz w:val="16"/>
              </w:rPr>
              <w:t>2027</w:t>
            </w:r>
          </w:p>
        </w:tc>
      </w:tr>
      <w:tr w:rsidR="00F265A9" w14:paraId="28251A87" w14:textId="77777777" w:rsidTr="0021176F">
        <w:trPr>
          <w:jc w:val="center"/>
        </w:trPr>
        <w:tc>
          <w:tcPr>
            <w:tcW w:w="851" w:type="dxa"/>
          </w:tcPr>
          <w:p w14:paraId="33141A11" w14:textId="77777777" w:rsidR="00F265A9" w:rsidRDefault="00F265A9" w:rsidP="00D027D9">
            <w:pPr>
              <w:pStyle w:val="Paragraphedeliste"/>
            </w:pPr>
          </w:p>
        </w:tc>
        <w:tc>
          <w:tcPr>
            <w:tcW w:w="992" w:type="dxa"/>
          </w:tcPr>
          <w:p w14:paraId="2538DFE2" w14:textId="77777777" w:rsidR="00F265A9" w:rsidRDefault="00F265A9" w:rsidP="00D027D9"/>
        </w:tc>
        <w:tc>
          <w:tcPr>
            <w:tcW w:w="709" w:type="dxa"/>
          </w:tcPr>
          <w:p w14:paraId="11F1B58D" w14:textId="77777777" w:rsidR="00F265A9" w:rsidRPr="00184447" w:rsidRDefault="00F265A9" w:rsidP="00D027D9">
            <w:pPr>
              <w:rPr>
                <w:sz w:val="20"/>
              </w:rPr>
            </w:pPr>
          </w:p>
        </w:tc>
        <w:tc>
          <w:tcPr>
            <w:tcW w:w="1134" w:type="dxa"/>
          </w:tcPr>
          <w:p w14:paraId="00CE8A8A" w14:textId="77777777" w:rsidR="00F265A9" w:rsidRDefault="00F265A9" w:rsidP="00D027D9"/>
        </w:tc>
        <w:tc>
          <w:tcPr>
            <w:tcW w:w="1276" w:type="dxa"/>
          </w:tcPr>
          <w:p w14:paraId="0EA578F9" w14:textId="77777777" w:rsidR="00F265A9" w:rsidRDefault="00F265A9" w:rsidP="00D027D9"/>
        </w:tc>
        <w:tc>
          <w:tcPr>
            <w:tcW w:w="850" w:type="dxa"/>
          </w:tcPr>
          <w:p w14:paraId="7D1E9BB5" w14:textId="77777777" w:rsidR="00F265A9" w:rsidRDefault="00F265A9" w:rsidP="00D027D9"/>
        </w:tc>
        <w:tc>
          <w:tcPr>
            <w:tcW w:w="709" w:type="dxa"/>
          </w:tcPr>
          <w:p w14:paraId="1A485D63" w14:textId="77777777" w:rsidR="00F265A9" w:rsidRDefault="00F265A9" w:rsidP="00D027D9"/>
        </w:tc>
        <w:tc>
          <w:tcPr>
            <w:tcW w:w="567" w:type="dxa"/>
          </w:tcPr>
          <w:p w14:paraId="65336D1D" w14:textId="77777777" w:rsidR="00F265A9" w:rsidRDefault="00F265A9" w:rsidP="00D027D9"/>
        </w:tc>
        <w:tc>
          <w:tcPr>
            <w:tcW w:w="567" w:type="dxa"/>
          </w:tcPr>
          <w:p w14:paraId="00EDDCB0" w14:textId="77777777" w:rsidR="00F265A9" w:rsidRDefault="00F265A9" w:rsidP="00D027D9"/>
        </w:tc>
        <w:tc>
          <w:tcPr>
            <w:tcW w:w="567" w:type="dxa"/>
          </w:tcPr>
          <w:p w14:paraId="4037F5AC" w14:textId="77777777" w:rsidR="00F265A9" w:rsidRDefault="00F265A9" w:rsidP="00D027D9"/>
        </w:tc>
        <w:tc>
          <w:tcPr>
            <w:tcW w:w="567" w:type="dxa"/>
          </w:tcPr>
          <w:p w14:paraId="3DD8A7FE" w14:textId="77777777" w:rsidR="00F265A9" w:rsidRDefault="00F265A9" w:rsidP="00D027D9"/>
        </w:tc>
        <w:tc>
          <w:tcPr>
            <w:tcW w:w="567" w:type="dxa"/>
          </w:tcPr>
          <w:p w14:paraId="3BB19EC7" w14:textId="77777777" w:rsidR="00F265A9" w:rsidRDefault="00F265A9" w:rsidP="00D027D9"/>
        </w:tc>
      </w:tr>
      <w:tr w:rsidR="00F265A9" w14:paraId="37CE28A9" w14:textId="77777777" w:rsidTr="0021176F">
        <w:trPr>
          <w:jc w:val="center"/>
        </w:trPr>
        <w:tc>
          <w:tcPr>
            <w:tcW w:w="851" w:type="dxa"/>
          </w:tcPr>
          <w:p w14:paraId="3277658A" w14:textId="77777777" w:rsidR="00F265A9" w:rsidRDefault="00F265A9" w:rsidP="00D027D9"/>
        </w:tc>
        <w:tc>
          <w:tcPr>
            <w:tcW w:w="992" w:type="dxa"/>
          </w:tcPr>
          <w:p w14:paraId="297F3753" w14:textId="77777777" w:rsidR="00F265A9" w:rsidRDefault="00F265A9" w:rsidP="00D027D9"/>
        </w:tc>
        <w:tc>
          <w:tcPr>
            <w:tcW w:w="709" w:type="dxa"/>
          </w:tcPr>
          <w:p w14:paraId="107A3CFA" w14:textId="77777777" w:rsidR="00F265A9" w:rsidRPr="00184447" w:rsidRDefault="00F265A9" w:rsidP="00D027D9">
            <w:pPr>
              <w:rPr>
                <w:sz w:val="20"/>
              </w:rPr>
            </w:pPr>
          </w:p>
        </w:tc>
        <w:tc>
          <w:tcPr>
            <w:tcW w:w="1134" w:type="dxa"/>
          </w:tcPr>
          <w:p w14:paraId="3C8203C9" w14:textId="77777777" w:rsidR="00F265A9" w:rsidRDefault="00F265A9" w:rsidP="00D027D9"/>
        </w:tc>
        <w:tc>
          <w:tcPr>
            <w:tcW w:w="1276" w:type="dxa"/>
          </w:tcPr>
          <w:p w14:paraId="62D7FC00" w14:textId="77777777" w:rsidR="00F265A9" w:rsidRDefault="00F265A9" w:rsidP="00D027D9"/>
        </w:tc>
        <w:tc>
          <w:tcPr>
            <w:tcW w:w="850" w:type="dxa"/>
          </w:tcPr>
          <w:p w14:paraId="12EB7EDE" w14:textId="77777777" w:rsidR="00F265A9" w:rsidRDefault="00F265A9" w:rsidP="00D027D9"/>
        </w:tc>
        <w:tc>
          <w:tcPr>
            <w:tcW w:w="709" w:type="dxa"/>
          </w:tcPr>
          <w:p w14:paraId="6F6ECF94" w14:textId="77777777" w:rsidR="00F265A9" w:rsidRDefault="00F265A9" w:rsidP="00D027D9"/>
        </w:tc>
        <w:tc>
          <w:tcPr>
            <w:tcW w:w="567" w:type="dxa"/>
          </w:tcPr>
          <w:p w14:paraId="091E652B" w14:textId="77777777" w:rsidR="00F265A9" w:rsidRDefault="00F265A9" w:rsidP="00D027D9"/>
        </w:tc>
        <w:tc>
          <w:tcPr>
            <w:tcW w:w="567" w:type="dxa"/>
          </w:tcPr>
          <w:p w14:paraId="6E1BD499" w14:textId="77777777" w:rsidR="00F265A9" w:rsidRDefault="00F265A9" w:rsidP="00D027D9"/>
        </w:tc>
        <w:tc>
          <w:tcPr>
            <w:tcW w:w="567" w:type="dxa"/>
          </w:tcPr>
          <w:p w14:paraId="3CB7D157" w14:textId="77777777" w:rsidR="00F265A9" w:rsidRDefault="00F265A9" w:rsidP="00D027D9"/>
        </w:tc>
        <w:tc>
          <w:tcPr>
            <w:tcW w:w="567" w:type="dxa"/>
          </w:tcPr>
          <w:p w14:paraId="72E6D5D6" w14:textId="77777777" w:rsidR="00F265A9" w:rsidRDefault="00F265A9" w:rsidP="00D027D9"/>
        </w:tc>
        <w:tc>
          <w:tcPr>
            <w:tcW w:w="567" w:type="dxa"/>
          </w:tcPr>
          <w:p w14:paraId="1CA66DC7" w14:textId="77777777" w:rsidR="00F265A9" w:rsidRDefault="00F265A9" w:rsidP="00D027D9"/>
        </w:tc>
      </w:tr>
      <w:tr w:rsidR="00F265A9" w14:paraId="2FBB139C" w14:textId="77777777" w:rsidTr="0021176F">
        <w:trPr>
          <w:jc w:val="center"/>
        </w:trPr>
        <w:tc>
          <w:tcPr>
            <w:tcW w:w="851" w:type="dxa"/>
          </w:tcPr>
          <w:p w14:paraId="7AFAAC2A" w14:textId="77777777" w:rsidR="00F265A9" w:rsidRDefault="00F265A9" w:rsidP="00D027D9"/>
        </w:tc>
        <w:tc>
          <w:tcPr>
            <w:tcW w:w="992" w:type="dxa"/>
          </w:tcPr>
          <w:p w14:paraId="7DABC01D" w14:textId="77777777" w:rsidR="00F265A9" w:rsidRDefault="00F265A9" w:rsidP="00D027D9"/>
        </w:tc>
        <w:tc>
          <w:tcPr>
            <w:tcW w:w="709" w:type="dxa"/>
          </w:tcPr>
          <w:p w14:paraId="40F6184A" w14:textId="77777777" w:rsidR="00F265A9" w:rsidRPr="00184447" w:rsidRDefault="00F265A9" w:rsidP="00D027D9">
            <w:pPr>
              <w:rPr>
                <w:sz w:val="20"/>
              </w:rPr>
            </w:pPr>
          </w:p>
        </w:tc>
        <w:tc>
          <w:tcPr>
            <w:tcW w:w="1134" w:type="dxa"/>
          </w:tcPr>
          <w:p w14:paraId="3C0E9D2F" w14:textId="77777777" w:rsidR="00F265A9" w:rsidRDefault="00F265A9" w:rsidP="00D027D9"/>
        </w:tc>
        <w:tc>
          <w:tcPr>
            <w:tcW w:w="1276" w:type="dxa"/>
          </w:tcPr>
          <w:p w14:paraId="17B0E6CC" w14:textId="77777777" w:rsidR="00F265A9" w:rsidRDefault="00F265A9" w:rsidP="00D027D9"/>
        </w:tc>
        <w:tc>
          <w:tcPr>
            <w:tcW w:w="850" w:type="dxa"/>
          </w:tcPr>
          <w:p w14:paraId="7892E7F6" w14:textId="77777777" w:rsidR="00F265A9" w:rsidRDefault="00F265A9" w:rsidP="00D027D9"/>
        </w:tc>
        <w:tc>
          <w:tcPr>
            <w:tcW w:w="709" w:type="dxa"/>
          </w:tcPr>
          <w:p w14:paraId="36D9CFFD" w14:textId="77777777" w:rsidR="00F265A9" w:rsidRDefault="00F265A9" w:rsidP="00D027D9"/>
        </w:tc>
        <w:tc>
          <w:tcPr>
            <w:tcW w:w="567" w:type="dxa"/>
          </w:tcPr>
          <w:p w14:paraId="5D0CEE0E" w14:textId="77777777" w:rsidR="00F265A9" w:rsidRDefault="00F265A9" w:rsidP="00D027D9"/>
        </w:tc>
        <w:tc>
          <w:tcPr>
            <w:tcW w:w="567" w:type="dxa"/>
          </w:tcPr>
          <w:p w14:paraId="5415846C" w14:textId="77777777" w:rsidR="00F265A9" w:rsidRDefault="00F265A9" w:rsidP="00D027D9"/>
        </w:tc>
        <w:tc>
          <w:tcPr>
            <w:tcW w:w="567" w:type="dxa"/>
          </w:tcPr>
          <w:p w14:paraId="58860E4E" w14:textId="77777777" w:rsidR="00F265A9" w:rsidRDefault="00F265A9" w:rsidP="00D027D9"/>
        </w:tc>
        <w:tc>
          <w:tcPr>
            <w:tcW w:w="567" w:type="dxa"/>
          </w:tcPr>
          <w:p w14:paraId="29DFB5D5" w14:textId="77777777" w:rsidR="00F265A9" w:rsidRDefault="00F265A9" w:rsidP="00D027D9"/>
        </w:tc>
        <w:tc>
          <w:tcPr>
            <w:tcW w:w="567" w:type="dxa"/>
          </w:tcPr>
          <w:p w14:paraId="064F6AA6" w14:textId="77777777" w:rsidR="00F265A9" w:rsidRDefault="00F265A9" w:rsidP="00D027D9"/>
        </w:tc>
      </w:tr>
      <w:tr w:rsidR="00F265A9" w14:paraId="7856D55C" w14:textId="77777777" w:rsidTr="0021176F">
        <w:trPr>
          <w:jc w:val="center"/>
        </w:trPr>
        <w:tc>
          <w:tcPr>
            <w:tcW w:w="851" w:type="dxa"/>
          </w:tcPr>
          <w:p w14:paraId="36EC0F14" w14:textId="77777777" w:rsidR="00F265A9" w:rsidRDefault="00F265A9" w:rsidP="00D027D9">
            <w:pPr>
              <w:pStyle w:val="Paragraphedeliste"/>
            </w:pPr>
          </w:p>
        </w:tc>
        <w:tc>
          <w:tcPr>
            <w:tcW w:w="992" w:type="dxa"/>
          </w:tcPr>
          <w:p w14:paraId="190B5014" w14:textId="77777777" w:rsidR="00F265A9" w:rsidRDefault="00F265A9" w:rsidP="00D027D9"/>
        </w:tc>
        <w:tc>
          <w:tcPr>
            <w:tcW w:w="709" w:type="dxa"/>
          </w:tcPr>
          <w:p w14:paraId="620BD2A0" w14:textId="77777777" w:rsidR="00F265A9" w:rsidRDefault="00F265A9" w:rsidP="00D027D9"/>
        </w:tc>
        <w:tc>
          <w:tcPr>
            <w:tcW w:w="1134" w:type="dxa"/>
          </w:tcPr>
          <w:p w14:paraId="7A9C2946" w14:textId="77777777" w:rsidR="00F265A9" w:rsidRDefault="00F265A9" w:rsidP="00D027D9"/>
        </w:tc>
        <w:tc>
          <w:tcPr>
            <w:tcW w:w="1276" w:type="dxa"/>
          </w:tcPr>
          <w:p w14:paraId="53E86AE0" w14:textId="77777777" w:rsidR="00F265A9" w:rsidRDefault="00F265A9" w:rsidP="00D027D9"/>
        </w:tc>
        <w:tc>
          <w:tcPr>
            <w:tcW w:w="850" w:type="dxa"/>
          </w:tcPr>
          <w:p w14:paraId="1658E460" w14:textId="77777777" w:rsidR="00F265A9" w:rsidRDefault="00F265A9" w:rsidP="00D027D9"/>
        </w:tc>
        <w:tc>
          <w:tcPr>
            <w:tcW w:w="709" w:type="dxa"/>
          </w:tcPr>
          <w:p w14:paraId="6B3DF7E9" w14:textId="77777777" w:rsidR="00F265A9" w:rsidRDefault="00F265A9" w:rsidP="00D027D9"/>
        </w:tc>
        <w:tc>
          <w:tcPr>
            <w:tcW w:w="567" w:type="dxa"/>
          </w:tcPr>
          <w:p w14:paraId="435C98F6" w14:textId="77777777" w:rsidR="00F265A9" w:rsidRDefault="00F265A9" w:rsidP="00D027D9"/>
        </w:tc>
        <w:tc>
          <w:tcPr>
            <w:tcW w:w="567" w:type="dxa"/>
          </w:tcPr>
          <w:p w14:paraId="5264DDD2" w14:textId="77777777" w:rsidR="00F265A9" w:rsidRDefault="00F265A9" w:rsidP="00D027D9"/>
        </w:tc>
        <w:tc>
          <w:tcPr>
            <w:tcW w:w="567" w:type="dxa"/>
          </w:tcPr>
          <w:p w14:paraId="029EB3EF" w14:textId="77777777" w:rsidR="00F265A9" w:rsidRDefault="00F265A9" w:rsidP="00D027D9"/>
        </w:tc>
        <w:tc>
          <w:tcPr>
            <w:tcW w:w="567" w:type="dxa"/>
          </w:tcPr>
          <w:p w14:paraId="1D6987DB" w14:textId="77777777" w:rsidR="00F265A9" w:rsidRDefault="00F265A9" w:rsidP="00D027D9"/>
        </w:tc>
        <w:tc>
          <w:tcPr>
            <w:tcW w:w="567" w:type="dxa"/>
          </w:tcPr>
          <w:p w14:paraId="748DA098" w14:textId="77777777" w:rsidR="00F265A9" w:rsidRDefault="00F265A9" w:rsidP="00D027D9"/>
        </w:tc>
      </w:tr>
    </w:tbl>
    <w:p w14:paraId="653AEAC2" w14:textId="77777777" w:rsidR="00F265A9" w:rsidRDefault="00F265A9" w:rsidP="003C77B9"/>
    <w:p w14:paraId="1292CD2C" w14:textId="48DE5CAB" w:rsidR="00BD24E1" w:rsidRDefault="00EC0F74" w:rsidP="00EC0F74">
      <w:pPr>
        <w:jc w:val="both"/>
      </w:pPr>
      <w:r w:rsidRPr="00F33A4A">
        <w:rPr>
          <w:b/>
        </w:rPr>
        <w:t xml:space="preserve"> </w:t>
      </w:r>
      <w:r w:rsidR="003C77B9" w:rsidRPr="00F33A4A">
        <w:rPr>
          <w:b/>
        </w:rPr>
        <w:t>L</w:t>
      </w:r>
      <w:r w:rsidR="00227248">
        <w:rPr>
          <w:b/>
        </w:rPr>
        <w:t>orsque cela est possible, l</w:t>
      </w:r>
      <w:r w:rsidR="003C77B9" w:rsidRPr="00F33A4A">
        <w:rPr>
          <w:b/>
        </w:rPr>
        <w:t>a déclinaison des objectifs en fiches action</w:t>
      </w:r>
      <w:r w:rsidR="00227248">
        <w:rPr>
          <w:b/>
        </w:rPr>
        <w:t xml:space="preserve"> </w:t>
      </w:r>
      <w:r>
        <w:rPr>
          <w:b/>
        </w:rPr>
        <w:t xml:space="preserve">pour les rendre </w:t>
      </w:r>
      <w:r w:rsidRPr="00F33A4A">
        <w:rPr>
          <w:b/>
        </w:rPr>
        <w:t>opérationnels</w:t>
      </w:r>
      <w:r>
        <w:rPr>
          <w:b/>
        </w:rPr>
        <w:t xml:space="preserve"> </w:t>
      </w:r>
      <w:r w:rsidR="00227248">
        <w:rPr>
          <w:b/>
        </w:rPr>
        <w:t xml:space="preserve">est recommandée. </w:t>
      </w:r>
      <w:r w:rsidR="00227248" w:rsidRPr="00227248">
        <w:t>Elles sont alors,</w:t>
      </w:r>
      <w:r w:rsidR="00227248">
        <w:rPr>
          <w:b/>
        </w:rPr>
        <w:t xml:space="preserve"> </w:t>
      </w:r>
      <w:r w:rsidR="00227248" w:rsidRPr="00227248">
        <w:t>annexées aux contrat,</w:t>
      </w:r>
      <w:r w:rsidR="003C77B9">
        <w:t xml:space="preserve"> </w:t>
      </w:r>
      <w:r w:rsidR="00227248">
        <w:t xml:space="preserve">et </w:t>
      </w:r>
      <w:r w:rsidR="003C77B9">
        <w:t>permet</w:t>
      </w:r>
      <w:r w:rsidR="00227248">
        <w:t>tent</w:t>
      </w:r>
      <w:r w:rsidR="003C77B9">
        <w:t xml:space="preserve"> aux organismes gestionnaires de décliner de manière concrète et pré</w:t>
      </w:r>
      <w:r w:rsidR="00227248">
        <w:t xml:space="preserve">cise les </w:t>
      </w:r>
      <w:r>
        <w:t>objectifs</w:t>
      </w:r>
      <w:r w:rsidR="00227248">
        <w:t xml:space="preserve"> du CPOM. </w:t>
      </w:r>
    </w:p>
    <w:p w14:paraId="753DE911" w14:textId="4A96621E" w:rsidR="00A63EF3" w:rsidRPr="00A63EF3" w:rsidRDefault="001A2D27" w:rsidP="00A63EF3">
      <w:pPr>
        <w:spacing w:after="0"/>
        <w:jc w:val="both"/>
      </w:pPr>
      <w:r>
        <w:t xml:space="preserve">Elles permettent également </w:t>
      </w:r>
      <w:r w:rsidR="00A63EF3" w:rsidRPr="00A63EF3">
        <w:t xml:space="preserve">d’évaluer le niveau d’avancement des actions mises en œuvre et le niveau d’atteinte des objectifs poursuivis. Ce </w:t>
      </w:r>
      <w:proofErr w:type="spellStart"/>
      <w:r w:rsidR="00A63EF3" w:rsidRPr="00A63EF3">
        <w:t>reporting</w:t>
      </w:r>
      <w:proofErr w:type="spellEnd"/>
      <w:r w:rsidR="00A63EF3" w:rsidRPr="00A63EF3">
        <w:t xml:space="preserve"> est particulièrement utile dans le cadre du dialogue de gestion annuel et des bilans d’étape</w:t>
      </w:r>
      <w:r w:rsidR="00A63EF3">
        <w:t xml:space="preserve"> du CPOM</w:t>
      </w:r>
      <w:r w:rsidR="00A63EF3" w:rsidRPr="00A63EF3">
        <w:t xml:space="preserve">. </w:t>
      </w:r>
    </w:p>
    <w:p w14:paraId="1ECDBEFC" w14:textId="7822C28E" w:rsidR="00A63EF3" w:rsidRDefault="00A63EF3" w:rsidP="00A63EF3">
      <w:pPr>
        <w:spacing w:after="0"/>
        <w:jc w:val="both"/>
        <w:rPr>
          <w:b/>
          <w:sz w:val="24"/>
        </w:rPr>
      </w:pPr>
    </w:p>
    <w:p w14:paraId="688EB280" w14:textId="77777777" w:rsidR="00A63EF3" w:rsidRPr="00A63EF3" w:rsidRDefault="00A63EF3" w:rsidP="00A63EF3">
      <w:pPr>
        <w:spacing w:after="0"/>
        <w:jc w:val="both"/>
        <w:rPr>
          <w:b/>
          <w:sz w:val="24"/>
        </w:rPr>
      </w:pPr>
    </w:p>
    <w:p w14:paraId="380132FD" w14:textId="2C210DAF" w:rsidR="00BD24E1" w:rsidRPr="006D01B0" w:rsidRDefault="009C624E" w:rsidP="001905CC">
      <w:pPr>
        <w:pStyle w:val="Paragraphedeliste"/>
        <w:numPr>
          <w:ilvl w:val="0"/>
          <w:numId w:val="4"/>
        </w:numPr>
        <w:spacing w:after="0"/>
        <w:jc w:val="both"/>
        <w:rPr>
          <w:b/>
          <w:sz w:val="24"/>
        </w:rPr>
      </w:pPr>
      <w:r w:rsidRPr="006D01B0">
        <w:rPr>
          <w:b/>
          <w:sz w:val="24"/>
        </w:rPr>
        <w:t>Le v</w:t>
      </w:r>
      <w:r w:rsidR="00BD24E1" w:rsidRPr="006D01B0">
        <w:rPr>
          <w:b/>
          <w:sz w:val="24"/>
        </w:rPr>
        <w:t>olet financier du contrat</w:t>
      </w:r>
    </w:p>
    <w:p w14:paraId="63AD60FF" w14:textId="77777777" w:rsidR="00BD24E1" w:rsidRDefault="00BD24E1" w:rsidP="001905CC">
      <w:pPr>
        <w:spacing w:after="0"/>
        <w:jc w:val="both"/>
      </w:pPr>
    </w:p>
    <w:p w14:paraId="195FED95" w14:textId="3312711B" w:rsidR="00AD190F" w:rsidRDefault="00AD190F" w:rsidP="001905CC">
      <w:pPr>
        <w:jc w:val="both"/>
      </w:pPr>
      <w:r w:rsidRPr="00AD190F">
        <w:t>Le CPOM doit déterminer précisément à la fois les moyens alloués au service en contrepartie de la réalisation des objectifs négociés et aussi et leurs modalités d’évolution sur la durée du contrat</w:t>
      </w:r>
    </w:p>
    <w:p w14:paraId="31FF297F" w14:textId="255718D2" w:rsidR="00E936E9" w:rsidRPr="00100AEE" w:rsidRDefault="00E936E9" w:rsidP="001905CC">
      <w:pPr>
        <w:jc w:val="both"/>
      </w:pPr>
      <w:r w:rsidRPr="00E936E9">
        <w:t>Les moyens déterminés doivent être proportionnés aux objectifs fixés.</w:t>
      </w:r>
    </w:p>
    <w:p w14:paraId="68381DA8" w14:textId="0EA171BB" w:rsidR="006236BE" w:rsidRDefault="006236BE" w:rsidP="001905CC">
      <w:pPr>
        <w:spacing w:after="0"/>
        <w:jc w:val="both"/>
      </w:pPr>
      <w:r>
        <w:t>Il convient de distinguer le traitement du volet financier du CPOM pour les services habilités à l’aide sociale (tarifés par le conseil départemental) et les services non habilités à l’aide sociale (non tarifés).</w:t>
      </w:r>
    </w:p>
    <w:p w14:paraId="6A968405" w14:textId="0E1EBE85" w:rsidR="006236BE" w:rsidRDefault="006236BE" w:rsidP="001905CC">
      <w:pPr>
        <w:spacing w:after="0"/>
        <w:jc w:val="both"/>
      </w:pPr>
    </w:p>
    <w:p w14:paraId="4C7FA6D1" w14:textId="56577B42" w:rsidR="0028005F" w:rsidRPr="00662E65" w:rsidRDefault="00AD190F" w:rsidP="001905CC">
      <w:pPr>
        <w:spacing w:after="0"/>
        <w:jc w:val="both"/>
        <w:rPr>
          <w:b/>
        </w:rPr>
      </w:pPr>
      <w:r>
        <w:rPr>
          <w:b/>
        </w:rPr>
        <w:t>5</w:t>
      </w:r>
      <w:r w:rsidR="00534BA5">
        <w:rPr>
          <w:b/>
        </w:rPr>
        <w:t xml:space="preserve">-1 </w:t>
      </w:r>
      <w:r w:rsidR="0028005F" w:rsidRPr="00662E65">
        <w:rPr>
          <w:b/>
        </w:rPr>
        <w:t>Les services habilités à l’aide sociale</w:t>
      </w:r>
    </w:p>
    <w:p w14:paraId="341B69AB" w14:textId="0DD9BA84" w:rsidR="00100AEE" w:rsidRDefault="00100AEE" w:rsidP="001905CC">
      <w:pPr>
        <w:spacing w:after="0"/>
        <w:jc w:val="both"/>
        <w:rPr>
          <w:u w:val="single"/>
        </w:rPr>
      </w:pPr>
    </w:p>
    <w:p w14:paraId="4A3286AD" w14:textId="2C78763E" w:rsidR="00662E65" w:rsidRDefault="00662E65" w:rsidP="001905CC">
      <w:pPr>
        <w:pStyle w:val="Paragraphedeliste"/>
        <w:numPr>
          <w:ilvl w:val="0"/>
          <w:numId w:val="15"/>
        </w:numPr>
        <w:spacing w:after="0"/>
        <w:jc w:val="both"/>
        <w:rPr>
          <w:u w:val="single"/>
        </w:rPr>
      </w:pPr>
      <w:r>
        <w:rPr>
          <w:u w:val="single"/>
        </w:rPr>
        <w:t>Fixation et évolution d</w:t>
      </w:r>
      <w:r w:rsidR="003F218E">
        <w:rPr>
          <w:u w:val="single"/>
        </w:rPr>
        <w:t>u tarif</w:t>
      </w:r>
      <w:r>
        <w:rPr>
          <w:u w:val="single"/>
        </w:rPr>
        <w:t xml:space="preserve"> </w:t>
      </w:r>
    </w:p>
    <w:p w14:paraId="54E88F7D" w14:textId="77777777" w:rsidR="00BE61A4" w:rsidRPr="00BE61A4" w:rsidRDefault="00BE61A4" w:rsidP="00BE61A4">
      <w:pPr>
        <w:pStyle w:val="Paragraphedeliste"/>
        <w:spacing w:after="0"/>
        <w:jc w:val="both"/>
        <w:rPr>
          <w:u w:val="single"/>
        </w:rPr>
      </w:pPr>
    </w:p>
    <w:p w14:paraId="33E71D10" w14:textId="77777777" w:rsidR="001362C1" w:rsidRDefault="009B1E3B" w:rsidP="001905CC">
      <w:pPr>
        <w:jc w:val="both"/>
      </w:pPr>
      <w:r>
        <w:t>L</w:t>
      </w:r>
      <w:r w:rsidRPr="009B1E3B">
        <w:t>e CPOM comporte des dispositions relatives aux modalités de fixation annuelle du tarif sur la durée du</w:t>
      </w:r>
      <w:r>
        <w:t xml:space="preserve"> contrat.</w:t>
      </w:r>
    </w:p>
    <w:p w14:paraId="4E1B5176" w14:textId="6405219B" w:rsidR="0061649A" w:rsidRPr="0061649A" w:rsidRDefault="00DD3E28" w:rsidP="001905CC">
      <w:pPr>
        <w:jc w:val="both"/>
      </w:pPr>
      <w:r>
        <w:t>Pour la première année du contrat, il</w:t>
      </w:r>
      <w:r w:rsidR="0061649A">
        <w:t xml:space="preserve"> peut être utile de définir un « </w:t>
      </w:r>
      <w:r w:rsidR="0061649A" w:rsidRPr="00DD3E28">
        <w:rPr>
          <w:b/>
        </w:rPr>
        <w:t>tarif horaire base zéro</w:t>
      </w:r>
      <w:r w:rsidR="0061649A">
        <w:t> » en repartant du dernier tarif arrêté, en en retranchant le cas échéant les crédits non reconductibles et en prenant en compte (sous réserve de la disponibilité des crédits du département</w:t>
      </w:r>
      <w:r>
        <w:t>)</w:t>
      </w:r>
      <w:r w:rsidR="0061649A">
        <w:t xml:space="preserve"> les besoins identifiés de </w:t>
      </w:r>
      <w:proofErr w:type="spellStart"/>
      <w:r w:rsidR="0061649A">
        <w:t>rebasage</w:t>
      </w:r>
      <w:proofErr w:type="spellEnd"/>
      <w:r w:rsidR="0061649A">
        <w:t>).</w:t>
      </w:r>
    </w:p>
    <w:p w14:paraId="1373CB00" w14:textId="240CECA3" w:rsidR="00CF5D22" w:rsidRDefault="006E11A3" w:rsidP="001905CC">
      <w:pPr>
        <w:jc w:val="both"/>
      </w:pPr>
      <w:r>
        <w:t>Les parties peuvent choisir</w:t>
      </w:r>
      <w:r w:rsidR="009B1E3B" w:rsidRPr="009B1E3B">
        <w:t xml:space="preserve"> le versement de la tarification sous la forme de </w:t>
      </w:r>
      <w:r w:rsidR="009B1E3B">
        <w:t>dotation globale de financement</w:t>
      </w:r>
      <w:r>
        <w:t>, comme le permet l’article R.314-135 du CASF.</w:t>
      </w:r>
      <w:r w:rsidR="00103150">
        <w:t xml:space="preserve"> Dans ce cas, le contrat fixe</w:t>
      </w:r>
      <w:r>
        <w:t xml:space="preserve"> le montant de cette dotation et son évolution</w:t>
      </w:r>
      <w:r w:rsidR="007D32A8">
        <w:t xml:space="preserve"> sur la durée du contrat</w:t>
      </w:r>
      <w:r>
        <w:t>.</w:t>
      </w:r>
      <w:r w:rsidR="00991C23">
        <w:t xml:space="preserve"> Lorsque l’enveloppe départemental</w:t>
      </w:r>
      <w:r w:rsidR="009B1E3B">
        <w:t>e</w:t>
      </w:r>
      <w:r w:rsidR="00991C23">
        <w:t xml:space="preserve"> le permet, il est recommandé de fixer u</w:t>
      </w:r>
      <w:r w:rsidR="00DD3E28">
        <w:t>ne</w:t>
      </w:r>
      <w:r w:rsidR="00CF5D22" w:rsidRPr="00DD3E28">
        <w:t xml:space="preserve"> base budgétai</w:t>
      </w:r>
      <w:r w:rsidR="00DD3E28">
        <w:t xml:space="preserve">re (ou « budget base zéro ») </w:t>
      </w:r>
      <w:r w:rsidR="00991C23">
        <w:t>la première année</w:t>
      </w:r>
      <w:r w:rsidR="00CF5D22" w:rsidRPr="00DD3E28">
        <w:t xml:space="preserve"> en repa</w:t>
      </w:r>
      <w:r w:rsidR="00991C23">
        <w:t xml:space="preserve">rtant du dernier budget accordé, diminué des crédits non reconductibles et prenant en compte les éventuels </w:t>
      </w:r>
      <w:proofErr w:type="spellStart"/>
      <w:r w:rsidR="00991C23">
        <w:t>rebasages</w:t>
      </w:r>
      <w:proofErr w:type="spellEnd"/>
      <w:r w:rsidR="00DD3E28">
        <w:t>.</w:t>
      </w:r>
    </w:p>
    <w:p w14:paraId="72EF0502" w14:textId="5E102BD5" w:rsidR="00100AEE" w:rsidRPr="00100AEE" w:rsidRDefault="00991C23" w:rsidP="001905CC">
      <w:pPr>
        <w:spacing w:after="0"/>
        <w:jc w:val="both"/>
      </w:pPr>
      <w:r>
        <w:t>Enfin, c</w:t>
      </w:r>
      <w:r w:rsidR="00100AEE" w:rsidRPr="00100AEE">
        <w:t>onformément à l’</w:t>
      </w:r>
      <w:r w:rsidR="00CF5D22">
        <w:t xml:space="preserve">article R. 314-40 du CASF, </w:t>
      </w:r>
      <w:r w:rsidR="00100AEE" w:rsidRPr="00100AEE">
        <w:t xml:space="preserve">le CPOM fixe </w:t>
      </w:r>
      <w:r w:rsidR="00CF5D22">
        <w:t>pour la durée du contrat</w:t>
      </w:r>
      <w:r w:rsidR="00100AEE" w:rsidRPr="00100AEE">
        <w:t xml:space="preserve"> les modalités de fixation annuelle de la tarification.</w:t>
      </w:r>
      <w:r w:rsidR="00BD3B63" w:rsidRPr="00BD3B63">
        <w:t xml:space="preserve"> Il est, en effet, primordial que le gestionnaire ait une visibilité pluriannuelle sur les moyens dont il disposera.</w:t>
      </w:r>
      <w:r w:rsidR="00BD3B63">
        <w:t xml:space="preserve"> </w:t>
      </w:r>
    </w:p>
    <w:p w14:paraId="56A0044D" w14:textId="08A65A8C" w:rsidR="00100AEE" w:rsidRPr="00100AEE" w:rsidRDefault="00100AEE" w:rsidP="001905CC">
      <w:pPr>
        <w:spacing w:after="0"/>
        <w:jc w:val="both"/>
      </w:pPr>
      <w:r w:rsidRPr="00100AEE">
        <w:t>Ces moda</w:t>
      </w:r>
      <w:r w:rsidR="00BD3B63">
        <w:t>lités peuvent consister</w:t>
      </w:r>
      <w:r w:rsidR="00662E65">
        <w:t xml:space="preserve"> </w:t>
      </w:r>
      <w:r w:rsidRPr="00100AEE">
        <w:t xml:space="preserve">: </w:t>
      </w:r>
    </w:p>
    <w:p w14:paraId="44F3994B" w14:textId="1A3A9AE8" w:rsidR="009B1E3B" w:rsidRDefault="009B1E3B" w:rsidP="009B1E3B">
      <w:pPr>
        <w:spacing w:after="0"/>
        <w:jc w:val="both"/>
      </w:pPr>
      <w:r>
        <w:t>1° en l'application directe du taux d'actualisation d'un objectif annuel ou pluriannuel d'évolution des dépenses délibéré par la collec</w:t>
      </w:r>
      <w:r w:rsidR="00F54ED3">
        <w:t>tivité départementale mentionnée</w:t>
      </w:r>
      <w:r>
        <w:t xml:space="preserve"> à l'article L. 313-8 ;</w:t>
      </w:r>
    </w:p>
    <w:p w14:paraId="504CB1C7" w14:textId="50625EF7" w:rsidR="009B1E3B" w:rsidRDefault="009B1E3B" w:rsidP="009B1E3B">
      <w:pPr>
        <w:spacing w:after="0"/>
        <w:jc w:val="both"/>
      </w:pPr>
      <w:r>
        <w:t xml:space="preserve">2° en l'application d'une formule fixe d'actualisation ou de revalorisation ; </w:t>
      </w:r>
    </w:p>
    <w:p w14:paraId="294D0FD6" w14:textId="7BAA6FE4" w:rsidR="009B1E3B" w:rsidRDefault="009B1E3B" w:rsidP="009B1E3B">
      <w:pPr>
        <w:spacing w:after="0"/>
        <w:jc w:val="both"/>
      </w:pPr>
      <w:r>
        <w:t xml:space="preserve">3° en la conclusion d'avenants annuels d'actualisation ou de revalorisation ; </w:t>
      </w:r>
    </w:p>
    <w:p w14:paraId="272C8DAC" w14:textId="31583303" w:rsidR="0028515D" w:rsidRDefault="009B1E3B" w:rsidP="009B1E3B">
      <w:pPr>
        <w:spacing w:after="0"/>
        <w:jc w:val="both"/>
      </w:pPr>
      <w:r>
        <w:t>4° en l'application d'une équation tarifaire, d'un tarif plafond ou d'un algorithme (non applicable aux SAAD en l’état actuel de la règlementation).</w:t>
      </w:r>
    </w:p>
    <w:p w14:paraId="62E48858" w14:textId="77777777" w:rsidR="00F54ED3" w:rsidRDefault="00F54ED3" w:rsidP="009B1E3B">
      <w:pPr>
        <w:spacing w:after="0"/>
        <w:jc w:val="both"/>
      </w:pPr>
    </w:p>
    <w:p w14:paraId="170D17B8" w14:textId="622579F8" w:rsidR="0028515D" w:rsidRDefault="00F77DA6" w:rsidP="001905CC">
      <w:pPr>
        <w:spacing w:after="0"/>
        <w:jc w:val="both"/>
      </w:pPr>
      <w:r>
        <w:t xml:space="preserve">Par exemple, </w:t>
      </w:r>
      <w:r w:rsidR="00991C23">
        <w:t>il est possible de prévoir l’</w:t>
      </w:r>
      <w:r>
        <w:t xml:space="preserve">application d’un taux d’évolution </w:t>
      </w:r>
      <w:r w:rsidR="00991C23">
        <w:t xml:space="preserve">annuel, </w:t>
      </w:r>
      <w:r>
        <w:t>en fonction du taux voté par l’assemblée départementale pour chaque année du contrat.</w:t>
      </w:r>
    </w:p>
    <w:p w14:paraId="338C4E3E" w14:textId="77777777" w:rsidR="00F77DA6" w:rsidRDefault="00F77DA6" w:rsidP="001905CC">
      <w:pPr>
        <w:spacing w:after="0"/>
        <w:jc w:val="both"/>
      </w:pPr>
    </w:p>
    <w:p w14:paraId="3959E7DC" w14:textId="7FD49D2C" w:rsidR="00100AEE" w:rsidRDefault="0028515D" w:rsidP="001905CC">
      <w:pPr>
        <w:spacing w:after="0"/>
        <w:jc w:val="both"/>
      </w:pPr>
      <w:r>
        <w:t>En</w:t>
      </w:r>
      <w:r w:rsidR="00100AEE" w:rsidRPr="00100AEE">
        <w:t xml:space="preserve"> application de l’article R. 314-</w:t>
      </w:r>
      <w:r w:rsidR="00100AEE">
        <w:t xml:space="preserve">42 du CASF, </w:t>
      </w:r>
      <w:r w:rsidR="00CF5D22">
        <w:t xml:space="preserve">il est </w:t>
      </w:r>
      <w:r w:rsidR="00F54ED3">
        <w:t>re</w:t>
      </w:r>
      <w:r w:rsidR="00CF5D22">
        <w:t xml:space="preserve">commandé d’écarter </w:t>
      </w:r>
      <w:r w:rsidR="00100AEE">
        <w:t xml:space="preserve">l’option </w:t>
      </w:r>
      <w:r w:rsidR="00CF5D22">
        <w:t xml:space="preserve">mentionnée au </w:t>
      </w:r>
      <w:r>
        <w:t xml:space="preserve">3° </w:t>
      </w:r>
      <w:r w:rsidR="00100AEE" w:rsidRPr="00100AEE">
        <w:t>afin de déroger à la procédure budgétaire contradictoire annuelle</w:t>
      </w:r>
      <w:r w:rsidR="001E4296">
        <w:t xml:space="preserve"> (</w:t>
      </w:r>
      <w:proofErr w:type="spellStart"/>
      <w:r w:rsidR="001E4296">
        <w:t>cf</w:t>
      </w:r>
      <w:proofErr w:type="spellEnd"/>
      <w:r w:rsidR="001E4296">
        <w:t xml:space="preserve"> point 6 sur le dialogue de gestion)</w:t>
      </w:r>
      <w:r w:rsidR="00100AEE" w:rsidRPr="00100AEE">
        <w:t>.</w:t>
      </w:r>
    </w:p>
    <w:p w14:paraId="1F542ED2" w14:textId="77777777" w:rsidR="001E4296" w:rsidRPr="00100AEE" w:rsidRDefault="001E4296" w:rsidP="001905CC">
      <w:pPr>
        <w:spacing w:after="0"/>
        <w:jc w:val="both"/>
      </w:pPr>
    </w:p>
    <w:p w14:paraId="3E916CED" w14:textId="5FF2175A" w:rsidR="001E4296" w:rsidRDefault="001E4296" w:rsidP="001905CC">
      <w:pPr>
        <w:spacing w:after="0"/>
        <w:jc w:val="both"/>
      </w:pPr>
      <w:r w:rsidRPr="00100AEE">
        <w:t xml:space="preserve">Le CPOM permet de déroger aux </w:t>
      </w:r>
      <w:r w:rsidRPr="00100AEE">
        <w:rPr>
          <w:b/>
        </w:rPr>
        <w:t>procédures de tarification</w:t>
      </w:r>
      <w:r w:rsidRPr="00100AEE">
        <w:t xml:space="preserve"> </w:t>
      </w:r>
      <w:r>
        <w:t xml:space="preserve">mais </w:t>
      </w:r>
      <w:r w:rsidRPr="00100AEE">
        <w:t xml:space="preserve">pas aux </w:t>
      </w:r>
      <w:r w:rsidRPr="00100AEE">
        <w:rPr>
          <w:b/>
        </w:rPr>
        <w:t>règles de fixation du tarif</w:t>
      </w:r>
      <w:r w:rsidR="00BD3B63">
        <w:rPr>
          <w:b/>
        </w:rPr>
        <w:t>.</w:t>
      </w:r>
      <w:r w:rsidRPr="00100AEE">
        <w:t xml:space="preserve"> </w:t>
      </w:r>
    </w:p>
    <w:p w14:paraId="6C0C870D" w14:textId="77777777" w:rsidR="001E4296" w:rsidRDefault="001E4296" w:rsidP="001905CC">
      <w:pPr>
        <w:spacing w:after="0"/>
        <w:jc w:val="both"/>
      </w:pPr>
    </w:p>
    <w:p w14:paraId="37A5FE73" w14:textId="4A5413A0" w:rsidR="001E4296" w:rsidRDefault="001E4296" w:rsidP="001905CC">
      <w:pPr>
        <w:spacing w:after="0"/>
        <w:jc w:val="both"/>
      </w:pPr>
      <w:r>
        <w:t xml:space="preserve">Dans tous les cas, </w:t>
      </w:r>
      <w:r w:rsidRPr="00662E65">
        <w:rPr>
          <w:b/>
        </w:rPr>
        <w:t>l’autorité de tarification est tenue de prendre chaque année un arrêté de tarification</w:t>
      </w:r>
      <w:r>
        <w:t>.</w:t>
      </w:r>
    </w:p>
    <w:p w14:paraId="1681B08D" w14:textId="5D8AB1E1" w:rsidR="00590FFC" w:rsidRDefault="00590FFC" w:rsidP="001905CC">
      <w:pPr>
        <w:spacing w:after="0"/>
        <w:jc w:val="both"/>
      </w:pPr>
    </w:p>
    <w:p w14:paraId="4430F422" w14:textId="54D5D985" w:rsidR="003F218E" w:rsidRDefault="00322193" w:rsidP="003F218E">
      <w:pPr>
        <w:spacing w:after="0"/>
        <w:jc w:val="both"/>
      </w:pPr>
      <w:r w:rsidRPr="00CA08F1">
        <w:t>De plus</w:t>
      </w:r>
      <w:r w:rsidR="00590FFC" w:rsidRPr="00CA08F1">
        <w:t>, la négociation du CPOM peut être un mo</w:t>
      </w:r>
      <w:r w:rsidR="00F94223">
        <w:t xml:space="preserve">ment privilégié pour étudier </w:t>
      </w:r>
      <w:r w:rsidR="00F94223" w:rsidRPr="00F94223">
        <w:t xml:space="preserve">un </w:t>
      </w:r>
      <w:r w:rsidR="00F94223" w:rsidRPr="001362C1">
        <w:rPr>
          <w:b/>
        </w:rPr>
        <w:t>plan pluriannuel d’investissement et</w:t>
      </w:r>
      <w:r w:rsidR="00590FFC" w:rsidRPr="001362C1">
        <w:rPr>
          <w:b/>
        </w:rPr>
        <w:t xml:space="preserve"> son financement</w:t>
      </w:r>
      <w:r w:rsidR="00590FFC" w:rsidRPr="00CA08F1">
        <w:t>. Dans ce cas, le PPIF approuvé est annexé au contrat. Les éventuels surcoûts d’exploitation sont intégrés dans l’évolution prévisionnelle des budgets.</w:t>
      </w:r>
    </w:p>
    <w:p w14:paraId="22812E49" w14:textId="77777777" w:rsidR="003F218E" w:rsidRDefault="003F218E" w:rsidP="003F218E">
      <w:pPr>
        <w:pStyle w:val="Paragraphedeliste"/>
        <w:jc w:val="both"/>
      </w:pPr>
    </w:p>
    <w:p w14:paraId="64A92BA2" w14:textId="0962AF77" w:rsidR="00662E65" w:rsidRPr="00662E65" w:rsidRDefault="00100AEE" w:rsidP="001905CC">
      <w:pPr>
        <w:pStyle w:val="Paragraphedeliste"/>
        <w:numPr>
          <w:ilvl w:val="0"/>
          <w:numId w:val="15"/>
        </w:numPr>
        <w:jc w:val="both"/>
      </w:pPr>
      <w:r w:rsidRPr="00662E65">
        <w:rPr>
          <w:u w:val="single"/>
        </w:rPr>
        <w:t xml:space="preserve">Détermination </w:t>
      </w:r>
      <w:r w:rsidR="00CB5237">
        <w:rPr>
          <w:u w:val="single"/>
        </w:rPr>
        <w:t xml:space="preserve">et versement </w:t>
      </w:r>
      <w:r w:rsidRPr="00662E65">
        <w:rPr>
          <w:u w:val="single"/>
        </w:rPr>
        <w:t>de la dotation complémentaire</w:t>
      </w:r>
    </w:p>
    <w:p w14:paraId="53BF07EE" w14:textId="429C9FE9" w:rsidR="009C6874" w:rsidRDefault="009C6874" w:rsidP="001905CC">
      <w:pPr>
        <w:jc w:val="both"/>
      </w:pPr>
      <w:r>
        <w:t>La dotation complémentaire prévue à l’article L314-2-1 du CASF afin d’améliorer la qualité du service rendu par le service s’ajoute aux tarifs horaires.</w:t>
      </w:r>
    </w:p>
    <w:p w14:paraId="18913639" w14:textId="5CF7511F" w:rsidR="00100AEE" w:rsidRPr="00971662" w:rsidRDefault="009C6874" w:rsidP="001905CC">
      <w:pPr>
        <w:jc w:val="both"/>
      </w:pPr>
      <w:r>
        <w:t xml:space="preserve">Lorsque le service bénéficie de cette dotation, </w:t>
      </w:r>
      <w:r w:rsidR="00534BA5">
        <w:t>il convient,</w:t>
      </w:r>
      <w:r>
        <w:t xml:space="preserve"> p</w:t>
      </w:r>
      <w:r w:rsidRPr="00971662">
        <w:t xml:space="preserve">our chaque </w:t>
      </w:r>
      <w:r>
        <w:t>objectif ou action financés par elle,</w:t>
      </w:r>
      <w:r w:rsidRPr="00971662">
        <w:t xml:space="preserve"> </w:t>
      </w:r>
      <w:r w:rsidR="00971662" w:rsidRPr="00971662">
        <w:t xml:space="preserve">de </w:t>
      </w:r>
      <w:r w:rsidR="00971662" w:rsidRPr="00534BA5">
        <w:rPr>
          <w:b/>
        </w:rPr>
        <w:t>préciser dans le contrat</w:t>
      </w:r>
      <w:r w:rsidR="00100AEE" w:rsidRPr="00971662">
        <w:t xml:space="preserve"> :</w:t>
      </w:r>
    </w:p>
    <w:p w14:paraId="15D9D9CA" w14:textId="4CD0A695" w:rsidR="00100AEE" w:rsidRPr="00971662" w:rsidRDefault="00100AEE" w:rsidP="001905CC">
      <w:pPr>
        <w:pStyle w:val="Paragraphedeliste"/>
        <w:ind w:left="0"/>
        <w:jc w:val="both"/>
      </w:pPr>
      <w:r w:rsidRPr="00971662">
        <w:t>-</w:t>
      </w:r>
      <w:r w:rsidR="00971662">
        <w:t xml:space="preserve"> </w:t>
      </w:r>
      <w:r w:rsidR="00971662" w:rsidRPr="00534BA5">
        <w:rPr>
          <w:b/>
        </w:rPr>
        <w:t xml:space="preserve">les </w:t>
      </w:r>
      <w:r w:rsidRPr="00534BA5">
        <w:rPr>
          <w:b/>
        </w:rPr>
        <w:t>modalités de calcul</w:t>
      </w:r>
      <w:r w:rsidR="00971662" w:rsidRPr="00534BA5">
        <w:rPr>
          <w:b/>
        </w:rPr>
        <w:t xml:space="preserve"> et le montant de la dotation</w:t>
      </w:r>
      <w:r w:rsidR="00971662">
        <w:t xml:space="preserve"> attribuée à la suite de l’appel à candidatures organisé par le conseil départemental ;</w:t>
      </w:r>
    </w:p>
    <w:p w14:paraId="6401FD28" w14:textId="011EF231" w:rsidR="00335757" w:rsidRDefault="00100AEE" w:rsidP="001905CC">
      <w:pPr>
        <w:pStyle w:val="Paragraphedeliste"/>
        <w:ind w:left="0"/>
        <w:jc w:val="both"/>
      </w:pPr>
      <w:r w:rsidRPr="00971662">
        <w:t>-</w:t>
      </w:r>
      <w:r w:rsidR="00971662">
        <w:t xml:space="preserve"> </w:t>
      </w:r>
      <w:r w:rsidR="00F54ED3">
        <w:rPr>
          <w:b/>
        </w:rPr>
        <w:t>les modalités d’</w:t>
      </w:r>
      <w:r w:rsidR="00971662" w:rsidRPr="00534BA5">
        <w:rPr>
          <w:b/>
        </w:rPr>
        <w:t>évolution sur la durée du contrat</w:t>
      </w:r>
      <w:r w:rsidR="009C6874">
        <w:t>.</w:t>
      </w:r>
    </w:p>
    <w:p w14:paraId="4CAC9C0D" w14:textId="77777777" w:rsidR="00335757" w:rsidRDefault="00335757" w:rsidP="001905CC">
      <w:pPr>
        <w:pStyle w:val="Paragraphedeliste"/>
        <w:ind w:left="0"/>
        <w:jc w:val="both"/>
      </w:pPr>
    </w:p>
    <w:p w14:paraId="2A8AB241" w14:textId="77777777" w:rsidR="00335757" w:rsidRPr="00335757" w:rsidRDefault="00335757" w:rsidP="001905CC">
      <w:pPr>
        <w:pStyle w:val="Paragraphedeliste"/>
        <w:ind w:left="0"/>
        <w:jc w:val="both"/>
        <w:rPr>
          <w:b/>
          <w:color w:val="1F497D" w:themeColor="text2"/>
        </w:rPr>
      </w:pPr>
      <w:r w:rsidRPr="00335757">
        <w:rPr>
          <w:rFonts w:cstheme="minorHAnsi"/>
          <w:b/>
          <w:color w:val="1F497D" w:themeColor="text2"/>
        </w:rPr>
        <w:t>→</w:t>
      </w:r>
      <w:r w:rsidRPr="00335757">
        <w:rPr>
          <w:b/>
          <w:color w:val="1F497D" w:themeColor="text2"/>
        </w:rPr>
        <w:t xml:space="preserve"> répercuter le niveau d’inflation sur le montant alloué par les départements aux services en cas d’action pluriannuelle.</w:t>
      </w:r>
    </w:p>
    <w:p w14:paraId="6184CCE2" w14:textId="46AE5B71" w:rsidR="00100AEE" w:rsidRDefault="00534BA5" w:rsidP="001905CC">
      <w:pPr>
        <w:pStyle w:val="Paragraphedeliste"/>
        <w:ind w:left="0"/>
        <w:jc w:val="both"/>
      </w:pPr>
      <w:r>
        <w:t xml:space="preserve">Le montant de référence servant à calculer le montant de la compensation versée par la caisse nationale de solidarité pour l’autonomie aux départements pour financer la dotation complémentaire étant indexé sur le taux d’inflation, il convient </w:t>
      </w:r>
      <w:proofErr w:type="gramStart"/>
      <w:r>
        <w:t>a</w:t>
      </w:r>
      <w:proofErr w:type="gramEnd"/>
      <w:r>
        <w:t xml:space="preserve"> minima</w:t>
      </w:r>
      <w:r w:rsidR="001905CC">
        <w:t xml:space="preserve"> d’en tenir compte dans l’évolution pluriannuelle du montant de la dotation.</w:t>
      </w:r>
      <w:r>
        <w:t xml:space="preserve"> </w:t>
      </w:r>
    </w:p>
    <w:p w14:paraId="198A5E57" w14:textId="77777777" w:rsidR="00971662" w:rsidRPr="00971662" w:rsidRDefault="00971662" w:rsidP="001905CC">
      <w:pPr>
        <w:pStyle w:val="Paragraphedeliste"/>
        <w:ind w:left="0"/>
        <w:jc w:val="both"/>
      </w:pPr>
    </w:p>
    <w:p w14:paraId="112E3941" w14:textId="77777777" w:rsidR="00285B21" w:rsidRDefault="00971662" w:rsidP="001905CC">
      <w:pPr>
        <w:pStyle w:val="Paragraphedeliste"/>
        <w:ind w:left="0"/>
        <w:jc w:val="both"/>
      </w:pPr>
      <w:r w:rsidRPr="00CB5237">
        <w:rPr>
          <w:b/>
        </w:rPr>
        <w:t>Les m</w:t>
      </w:r>
      <w:r w:rsidR="00100AEE" w:rsidRPr="00CB5237">
        <w:rPr>
          <w:b/>
        </w:rPr>
        <w:t xml:space="preserve">odalités de </w:t>
      </w:r>
      <w:r w:rsidRPr="00CB5237">
        <w:rPr>
          <w:b/>
        </w:rPr>
        <w:t xml:space="preserve">son </w:t>
      </w:r>
      <w:r w:rsidR="00100AEE" w:rsidRPr="00CB5237">
        <w:rPr>
          <w:b/>
        </w:rPr>
        <w:t xml:space="preserve">versement </w:t>
      </w:r>
      <w:r w:rsidRPr="00CB5237">
        <w:rPr>
          <w:b/>
        </w:rPr>
        <w:t xml:space="preserve">doivent </w:t>
      </w:r>
      <w:r w:rsidR="009C6874" w:rsidRPr="00CB5237">
        <w:rPr>
          <w:b/>
        </w:rPr>
        <w:t xml:space="preserve">également </w:t>
      </w:r>
      <w:r w:rsidRPr="00CB5237">
        <w:rPr>
          <w:b/>
        </w:rPr>
        <w:t>être précisées</w:t>
      </w:r>
      <w:r>
        <w:t xml:space="preserve"> si les parties </w:t>
      </w:r>
      <w:r w:rsidR="00534BA5">
        <w:t xml:space="preserve">ne souhaitent pas qu’elle soit </w:t>
      </w:r>
      <w:r>
        <w:t>versée</w:t>
      </w:r>
      <w:r w:rsidR="00100AEE" w:rsidRPr="00971662">
        <w:t xml:space="preserve"> par douzième</w:t>
      </w:r>
      <w:r>
        <w:t>s</w:t>
      </w:r>
      <w:r w:rsidR="00285B21">
        <w:t>.</w:t>
      </w:r>
    </w:p>
    <w:p w14:paraId="667876F2" w14:textId="77777777" w:rsidR="00285B21" w:rsidRDefault="00285B21" w:rsidP="001905CC">
      <w:pPr>
        <w:pStyle w:val="Paragraphedeliste"/>
        <w:ind w:left="0"/>
        <w:jc w:val="both"/>
      </w:pPr>
    </w:p>
    <w:p w14:paraId="3EB4E446" w14:textId="1C467940" w:rsidR="00100AEE" w:rsidRDefault="009C6874" w:rsidP="001905CC">
      <w:pPr>
        <w:pStyle w:val="Paragraphedeliste"/>
        <w:ind w:left="0"/>
        <w:jc w:val="both"/>
      </w:pPr>
      <w:r>
        <w:t>Il est possible par exemple de prévoir un versement en deux temps : un acompte versé avant le 31 mars et un solde</w:t>
      </w:r>
      <w:r w:rsidR="00100AEE" w:rsidRPr="00971662">
        <w:t xml:space="preserve"> </w:t>
      </w:r>
      <w:r w:rsidRPr="009C6874">
        <w:t>(</w:t>
      </w:r>
      <w:r w:rsidR="00100AEE" w:rsidRPr="009C6874">
        <w:t>avec régularisation</w:t>
      </w:r>
      <w:r w:rsidRPr="009C6874">
        <w:t xml:space="preserve"> possible)</w:t>
      </w:r>
      <w:r w:rsidR="00285B21">
        <w:t xml:space="preserve"> avant le </w:t>
      </w:r>
      <w:r w:rsidR="001362C1">
        <w:t>30 avril de N+1</w:t>
      </w:r>
      <w:r w:rsidR="00285B21">
        <w:t>.</w:t>
      </w:r>
    </w:p>
    <w:p w14:paraId="20BD4CDD" w14:textId="0E7D8933" w:rsidR="00100AEE" w:rsidRDefault="00CB3595" w:rsidP="001905CC">
      <w:pPr>
        <w:jc w:val="both"/>
      </w:pPr>
      <w:r>
        <w:t>Le</w:t>
      </w:r>
      <w:r w:rsidR="00285B21">
        <w:t xml:space="preserve"> cas échéant, le</w:t>
      </w:r>
      <w:r>
        <w:t xml:space="preserve">s versements feront l’objet d’une </w:t>
      </w:r>
      <w:r w:rsidRPr="00CB5237">
        <w:rPr>
          <w:b/>
        </w:rPr>
        <w:t>régularisation</w:t>
      </w:r>
      <w:r>
        <w:t xml:space="preserve"> en fonction de la réalisation effective des actions financées par la dotation complémentaire dans les conditions prévues par le CPOM</w:t>
      </w:r>
      <w:r w:rsidR="00285B21">
        <w:t xml:space="preserve"> et du </w:t>
      </w:r>
      <w:r>
        <w:t xml:space="preserve">nombre d’heures réellement effectuées par le SAAD auprès des </w:t>
      </w:r>
      <w:r w:rsidR="00285B21">
        <w:t>publics (lorsque la dotation prend la forme d’une bonification horaire)</w:t>
      </w:r>
      <w:r>
        <w:t xml:space="preserve">. </w:t>
      </w:r>
    </w:p>
    <w:p w14:paraId="674FB0AC" w14:textId="07766B3C" w:rsidR="005F7B5D" w:rsidRDefault="005F7B5D" w:rsidP="001905CC">
      <w:pPr>
        <w:spacing w:after="0"/>
        <w:jc w:val="both"/>
      </w:pPr>
    </w:p>
    <w:p w14:paraId="6212D03B" w14:textId="31C232AD" w:rsidR="00662E65" w:rsidRPr="00103150" w:rsidRDefault="003C1C5A" w:rsidP="001905CC">
      <w:pPr>
        <w:pStyle w:val="Paragraphedeliste"/>
        <w:numPr>
          <w:ilvl w:val="0"/>
          <w:numId w:val="15"/>
        </w:numPr>
        <w:spacing w:after="0"/>
        <w:jc w:val="both"/>
        <w:rPr>
          <w:u w:val="single"/>
        </w:rPr>
      </w:pPr>
      <w:r>
        <w:rPr>
          <w:u w:val="single"/>
        </w:rPr>
        <w:t>P</w:t>
      </w:r>
      <w:r w:rsidR="00662E65" w:rsidRPr="00103150">
        <w:rPr>
          <w:u w:val="single"/>
        </w:rPr>
        <w:t xml:space="preserve">olitique d’affectation des résultats </w:t>
      </w:r>
    </w:p>
    <w:p w14:paraId="712D8706" w14:textId="77777777" w:rsidR="00662E65" w:rsidRDefault="00662E65" w:rsidP="00100AEE">
      <w:pPr>
        <w:spacing w:after="0"/>
        <w:jc w:val="both"/>
      </w:pPr>
    </w:p>
    <w:p w14:paraId="2B9310B7" w14:textId="1B7BB814" w:rsidR="00824AA5" w:rsidRDefault="00100AEE" w:rsidP="00824AA5">
      <w:pPr>
        <w:spacing w:after="0"/>
        <w:jc w:val="both"/>
      </w:pPr>
      <w:r>
        <w:t xml:space="preserve">Il convient de rappeler que les dispositions légales et réglementaires relatives au CPOM et à la fixation pluriannuelle du budget ne prévoient </w:t>
      </w:r>
      <w:r w:rsidRPr="00824AA5">
        <w:rPr>
          <w:b/>
        </w:rPr>
        <w:t>aucun régime dérogatoire quant à la transmission des comptes administratifs</w:t>
      </w:r>
      <w:r>
        <w:t>.</w:t>
      </w:r>
      <w:r w:rsidR="00824AA5" w:rsidRPr="00824AA5">
        <w:t xml:space="preserve"> </w:t>
      </w:r>
      <w:r w:rsidR="00824AA5">
        <w:t>Le compte administratif est accompagné d’un rapport d'activité.</w:t>
      </w:r>
    </w:p>
    <w:p w14:paraId="340F358F" w14:textId="36F8E554" w:rsidR="00100AEE" w:rsidRDefault="00824AA5" w:rsidP="00824AA5">
      <w:pPr>
        <w:spacing w:after="0"/>
        <w:jc w:val="both"/>
      </w:pPr>
      <w:r>
        <w:t>Ces documents sont à transmettre avant le 30 avril de l'année qui suit celle de l'exercice</w:t>
      </w:r>
      <w:r w:rsidR="00F54ED3">
        <w:t xml:space="preserve"> concerné</w:t>
      </w:r>
      <w:r>
        <w:t>.</w:t>
      </w:r>
    </w:p>
    <w:p w14:paraId="2CD3B8CD" w14:textId="77777777" w:rsidR="00662E65" w:rsidRDefault="00662E65" w:rsidP="00100AEE">
      <w:pPr>
        <w:spacing w:after="0"/>
        <w:jc w:val="both"/>
      </w:pPr>
    </w:p>
    <w:p w14:paraId="3B1D4204" w14:textId="333C78B2" w:rsidR="00554446" w:rsidRDefault="00554446" w:rsidP="00554446">
      <w:pPr>
        <w:spacing w:after="0"/>
        <w:jc w:val="both"/>
      </w:pPr>
      <w:r>
        <w:t xml:space="preserve">Dans le CPOM </w:t>
      </w:r>
      <w:r w:rsidRPr="00824AA5">
        <w:rPr>
          <w:b/>
        </w:rPr>
        <w:t>les parties fixent alors les règles convenues en matière d’affectation et de gestion des résultats</w:t>
      </w:r>
      <w:r>
        <w:t>, déficitaires comme excédentaires lors de la négociation du contrat.</w:t>
      </w:r>
    </w:p>
    <w:p w14:paraId="31EF1091" w14:textId="77777777" w:rsidR="00554446" w:rsidRDefault="00554446" w:rsidP="00554446">
      <w:pPr>
        <w:spacing w:after="0"/>
        <w:jc w:val="both"/>
      </w:pPr>
    </w:p>
    <w:p w14:paraId="61A10638" w14:textId="409543E8" w:rsidR="00971662" w:rsidRDefault="00971662" w:rsidP="00662E65">
      <w:pPr>
        <w:spacing w:after="0"/>
        <w:jc w:val="both"/>
      </w:pPr>
      <w:r w:rsidRPr="00670D1B">
        <w:rPr>
          <w:rFonts w:cstheme="minorHAnsi"/>
          <w:b/>
          <w:color w:val="1F497D" w:themeColor="text2"/>
        </w:rPr>
        <w:t>→</w:t>
      </w:r>
      <w:r>
        <w:rPr>
          <w:rFonts w:cstheme="minorHAnsi"/>
          <w:b/>
          <w:color w:val="1F497D" w:themeColor="text2"/>
        </w:rPr>
        <w:t xml:space="preserve"> privilégier la libre affectation des résultats par le gestionnaire</w:t>
      </w:r>
    </w:p>
    <w:p w14:paraId="4C831DBF" w14:textId="77777777" w:rsidR="00590FFC" w:rsidRDefault="00590FFC" w:rsidP="00662E65">
      <w:pPr>
        <w:spacing w:after="0"/>
        <w:jc w:val="both"/>
      </w:pPr>
    </w:p>
    <w:p w14:paraId="674DEDC1" w14:textId="0CD0C934" w:rsidR="00662E65" w:rsidRDefault="00662E65" w:rsidP="00662E65">
      <w:pPr>
        <w:spacing w:after="0"/>
        <w:jc w:val="both"/>
      </w:pPr>
      <w:r>
        <w:t>Par dérogation à l’article</w:t>
      </w:r>
      <w:r w:rsidRPr="00662E65">
        <w:t xml:space="preserve"> </w:t>
      </w:r>
      <w:r>
        <w:t xml:space="preserve">R. 314-51 du CASF, </w:t>
      </w:r>
      <w:r w:rsidR="00554446">
        <w:rPr>
          <w:b/>
        </w:rPr>
        <w:t>il est possible de</w:t>
      </w:r>
      <w:r w:rsidRPr="00662E65">
        <w:rPr>
          <w:b/>
        </w:rPr>
        <w:t xml:space="preserve"> prévoir une libre affectation des résultats </w:t>
      </w:r>
      <w:r w:rsidR="009C6874">
        <w:rPr>
          <w:b/>
        </w:rPr>
        <w:t xml:space="preserve">comptables </w:t>
      </w:r>
      <w:r w:rsidRPr="00662E65">
        <w:rPr>
          <w:b/>
        </w:rPr>
        <w:t xml:space="preserve">par le gestionnaire </w:t>
      </w:r>
      <w:r w:rsidRPr="009C6874">
        <w:t>sous réserve d’une pluri</w:t>
      </w:r>
      <w:r w:rsidR="001362C1">
        <w:t>-</w:t>
      </w:r>
      <w:r w:rsidRPr="009C6874">
        <w:t>annualité budgétaire</w:t>
      </w:r>
      <w:r w:rsidR="00274959" w:rsidRPr="009C6874">
        <w:t xml:space="preserve"> (article R.314-43 CASF)</w:t>
      </w:r>
      <w:r w:rsidRPr="009C6874">
        <w:t>.</w:t>
      </w:r>
    </w:p>
    <w:p w14:paraId="57A0D629" w14:textId="087B9271" w:rsidR="00590FFC" w:rsidRPr="009C6874" w:rsidRDefault="00590FFC" w:rsidP="00662E65">
      <w:pPr>
        <w:spacing w:after="0"/>
        <w:jc w:val="both"/>
      </w:pPr>
      <w:r>
        <w:t>Cette dérogation permet au gestionnaire</w:t>
      </w:r>
      <w:r w:rsidRPr="00590FFC">
        <w:t xml:space="preserve"> d’augmenter ses marges de manœuvre et son autonomie de gestion. </w:t>
      </w:r>
      <w:r w:rsidRPr="00322193">
        <w:rPr>
          <w:b/>
        </w:rPr>
        <w:t>Cette affectation reste réalisée sous le contrôle de l’autorité de tarification</w:t>
      </w:r>
      <w:r w:rsidRPr="00590FFC">
        <w:t xml:space="preserve">. A ce titre, Le gestionnaire gère d’éventuels déficits. Les excédents ne sont pas non plus repris, sauf nécessité pour </w:t>
      </w:r>
      <w:r w:rsidR="00F54ED3">
        <w:t>le conseil départemental</w:t>
      </w:r>
      <w:r w:rsidRPr="00590FFC">
        <w:t xml:space="preserve"> d’équilibrer </w:t>
      </w:r>
      <w:r>
        <w:t>son enveloppe disponible</w:t>
      </w:r>
      <w:r w:rsidRPr="00590FFC">
        <w:t>.</w:t>
      </w:r>
    </w:p>
    <w:p w14:paraId="088DE18E" w14:textId="2A15D715" w:rsidR="00590FFC" w:rsidRDefault="00590FFC" w:rsidP="001905CC">
      <w:pPr>
        <w:spacing w:after="0"/>
        <w:jc w:val="both"/>
      </w:pPr>
    </w:p>
    <w:p w14:paraId="0E38D587" w14:textId="7BBF88DD" w:rsidR="00971662" w:rsidRDefault="00971662" w:rsidP="001905CC">
      <w:pPr>
        <w:spacing w:after="0"/>
        <w:jc w:val="both"/>
      </w:pPr>
      <w:r w:rsidRPr="00670D1B">
        <w:rPr>
          <w:rFonts w:cstheme="minorHAnsi"/>
          <w:b/>
          <w:color w:val="1F497D" w:themeColor="text2"/>
        </w:rPr>
        <w:t>→</w:t>
      </w:r>
      <w:r w:rsidRPr="00670D1B">
        <w:rPr>
          <w:b/>
          <w:color w:val="1F497D" w:themeColor="text2"/>
        </w:rPr>
        <w:t xml:space="preserve"> </w:t>
      </w:r>
      <w:r w:rsidRPr="00971662">
        <w:rPr>
          <w:b/>
          <w:color w:val="1F497D" w:themeColor="text2"/>
        </w:rPr>
        <w:t>Traiter</w:t>
      </w:r>
      <w:r>
        <w:rPr>
          <w:b/>
          <w:color w:val="1F497D" w:themeColor="text2"/>
        </w:rPr>
        <w:t xml:space="preserve"> séparément le résultat des</w:t>
      </w:r>
      <w:r w:rsidRPr="00971662">
        <w:rPr>
          <w:b/>
          <w:color w:val="1F497D" w:themeColor="text2"/>
        </w:rPr>
        <w:t xml:space="preserve"> actions financées par la dotation complémentaire</w:t>
      </w:r>
    </w:p>
    <w:p w14:paraId="769B066D" w14:textId="77777777" w:rsidR="00971662" w:rsidRPr="00971662" w:rsidRDefault="00971662" w:rsidP="001905CC">
      <w:pPr>
        <w:spacing w:after="0"/>
        <w:jc w:val="both"/>
      </w:pPr>
      <w:r w:rsidRPr="00971662">
        <w:t>Il est important que le suivi des moyens alloués à ces actions puisse être suivi avec précision.</w:t>
      </w:r>
    </w:p>
    <w:p w14:paraId="3C7D64D9" w14:textId="0CF96E4C" w:rsidR="00FD5CCD" w:rsidRDefault="00FD5CCD" w:rsidP="003F218E">
      <w:pPr>
        <w:spacing w:after="0"/>
        <w:jc w:val="both"/>
        <w:rPr>
          <w:b/>
        </w:rPr>
      </w:pPr>
    </w:p>
    <w:p w14:paraId="467C87AE" w14:textId="5B78586B" w:rsidR="003F218E" w:rsidRDefault="003F218E" w:rsidP="005F7B5D">
      <w:pPr>
        <w:spacing w:after="0"/>
        <w:jc w:val="both"/>
      </w:pPr>
      <w:r w:rsidRPr="003F218E">
        <w:rPr>
          <w:b/>
        </w:rPr>
        <w:t xml:space="preserve">Enfin, une </w:t>
      </w:r>
      <w:r>
        <w:rPr>
          <w:b/>
        </w:rPr>
        <w:t>fiche technique</w:t>
      </w:r>
      <w:r w:rsidR="005F7B5D">
        <w:rPr>
          <w:b/>
        </w:rPr>
        <w:t>, annexée au contrat,</w:t>
      </w:r>
      <w:r w:rsidRPr="003F218E">
        <w:rPr>
          <w:b/>
        </w:rPr>
        <w:t xml:space="preserve"> peut utilement préciser les éléments suivants</w:t>
      </w:r>
      <w:r>
        <w:t xml:space="preserve"> :</w:t>
      </w:r>
    </w:p>
    <w:p w14:paraId="326DE6D1" w14:textId="74655A65" w:rsidR="003F218E" w:rsidRDefault="005F7B5D" w:rsidP="003F218E">
      <w:pPr>
        <w:spacing w:after="0"/>
        <w:jc w:val="both"/>
      </w:pPr>
      <w:r>
        <w:t xml:space="preserve">- </w:t>
      </w:r>
      <w:r w:rsidR="003F218E">
        <w:t>Les modalités de versement des tarifs horaires aux services (acomptes et solde, régularisations)</w:t>
      </w:r>
    </w:p>
    <w:p w14:paraId="3D3CBA24" w14:textId="02F5BB45" w:rsidR="003F218E" w:rsidRDefault="005F7B5D" w:rsidP="003F218E">
      <w:pPr>
        <w:spacing w:after="0"/>
        <w:jc w:val="both"/>
      </w:pPr>
      <w:r>
        <w:t xml:space="preserve">- </w:t>
      </w:r>
      <w:r w:rsidR="003F218E">
        <w:t>Les règles de télégestion/télétransmission ;</w:t>
      </w:r>
    </w:p>
    <w:p w14:paraId="458D53B3" w14:textId="1F760D73" w:rsidR="005F7B5D" w:rsidRDefault="005F7B5D" w:rsidP="003F218E">
      <w:pPr>
        <w:spacing w:after="0"/>
        <w:jc w:val="both"/>
      </w:pPr>
      <w:r>
        <w:t xml:space="preserve">- </w:t>
      </w:r>
      <w:r w:rsidR="003F218E">
        <w:t xml:space="preserve">Les règles de gestion (comptabilisation du temps d’intervention, </w:t>
      </w:r>
      <w:proofErr w:type="spellStart"/>
      <w:r w:rsidR="003F218E">
        <w:t>proratisation</w:t>
      </w:r>
      <w:proofErr w:type="spellEnd"/>
      <w:r w:rsidR="003F218E">
        <w:t xml:space="preserve"> en cas d’ouverture des droits en cours de mois, mise en œuvre du plan d’aide en cas d’hospitalisation…)</w:t>
      </w:r>
      <w:r>
        <w:t> ;</w:t>
      </w:r>
    </w:p>
    <w:p w14:paraId="1D967A62" w14:textId="75113BDB" w:rsidR="005F7B5D" w:rsidRDefault="005F7B5D" w:rsidP="003F218E">
      <w:pPr>
        <w:spacing w:after="0"/>
        <w:jc w:val="both"/>
      </w:pPr>
      <w:r>
        <w:t>- Les règles de facturation.</w:t>
      </w:r>
    </w:p>
    <w:p w14:paraId="0359CB97" w14:textId="72FBB65A" w:rsidR="005F7B5D" w:rsidRDefault="005F7B5D" w:rsidP="003F218E">
      <w:pPr>
        <w:spacing w:after="0"/>
        <w:jc w:val="both"/>
      </w:pPr>
    </w:p>
    <w:p w14:paraId="3D8F967A" w14:textId="1F0B9261" w:rsidR="004455A8" w:rsidRPr="004455A8" w:rsidRDefault="004455A8" w:rsidP="004455A8">
      <w:pPr>
        <w:pStyle w:val="Paragraphedeliste"/>
        <w:numPr>
          <w:ilvl w:val="0"/>
          <w:numId w:val="15"/>
        </w:numPr>
        <w:spacing w:after="0"/>
        <w:jc w:val="both"/>
        <w:rPr>
          <w:u w:val="single"/>
        </w:rPr>
      </w:pPr>
      <w:r w:rsidRPr="004455A8">
        <w:rPr>
          <w:u w:val="single"/>
        </w:rPr>
        <w:t>Procédure budgétaire</w:t>
      </w:r>
    </w:p>
    <w:p w14:paraId="19FB5CD2" w14:textId="77777777" w:rsidR="004455A8" w:rsidRDefault="004455A8" w:rsidP="004455A8">
      <w:pPr>
        <w:pStyle w:val="Paragraphedeliste"/>
        <w:spacing w:after="0"/>
        <w:jc w:val="both"/>
      </w:pPr>
    </w:p>
    <w:p w14:paraId="47B0F245" w14:textId="474955EE" w:rsidR="004455A8" w:rsidRDefault="004455A8" w:rsidP="004455A8">
      <w:pPr>
        <w:spacing w:after="0"/>
        <w:jc w:val="both"/>
      </w:pPr>
      <w:r>
        <w:t xml:space="preserve">Le contrat peut prévoir de sortir de la procédure budgétaire annuelle sur le fondement de l’article R.314-42 du CASF. </w:t>
      </w:r>
    </w:p>
    <w:p w14:paraId="63727077" w14:textId="77777777" w:rsidR="004455A8" w:rsidRDefault="004455A8" w:rsidP="004455A8">
      <w:pPr>
        <w:spacing w:after="0"/>
        <w:jc w:val="both"/>
      </w:pPr>
    </w:p>
    <w:p w14:paraId="6A4B11FD" w14:textId="3A3E1C65" w:rsidR="004455A8" w:rsidRDefault="004455A8" w:rsidP="004455A8">
      <w:pPr>
        <w:spacing w:after="0"/>
        <w:jc w:val="both"/>
      </w:pPr>
      <w:r>
        <w:t xml:space="preserve">La dérogation à la procédure budgétaire annuelle contradictoire permet de simplifier la composition des propositions budgétaires et surtout d’adapter les délais de transmission de celles-ci. Le CPOM doit alors préciser les documents budgétaires que le gestionnaire doit produire chaque année, ainsi que leur délai de transmission retenus. </w:t>
      </w:r>
    </w:p>
    <w:p w14:paraId="7BD43005" w14:textId="77777777" w:rsidR="004455A8" w:rsidRDefault="004455A8" w:rsidP="004455A8">
      <w:pPr>
        <w:spacing w:after="0"/>
        <w:jc w:val="both"/>
      </w:pPr>
    </w:p>
    <w:p w14:paraId="545A3164" w14:textId="7866E7D1" w:rsidR="004455A8" w:rsidRDefault="004455A8" w:rsidP="004455A8">
      <w:pPr>
        <w:spacing w:after="0"/>
        <w:jc w:val="both"/>
      </w:pPr>
      <w:r>
        <w:t>Il appartient donc au conseil départemental et au gestionnaire de s’accorder sur ces dispositions au regard de la procédure budgétaire qui sera retenue.</w:t>
      </w:r>
    </w:p>
    <w:p w14:paraId="1ED8296D" w14:textId="77777777" w:rsidR="004455A8" w:rsidRDefault="004455A8" w:rsidP="004455A8">
      <w:pPr>
        <w:spacing w:after="0"/>
        <w:jc w:val="both"/>
      </w:pPr>
    </w:p>
    <w:p w14:paraId="45DFFBAC" w14:textId="77777777" w:rsidR="00662E65" w:rsidRDefault="00662E65" w:rsidP="001905CC">
      <w:pPr>
        <w:spacing w:after="0"/>
        <w:jc w:val="both"/>
      </w:pPr>
    </w:p>
    <w:p w14:paraId="5430AB1B" w14:textId="5DEC932E" w:rsidR="0028005F" w:rsidRPr="00534BA5" w:rsidRDefault="00FD5CCD" w:rsidP="001905CC">
      <w:pPr>
        <w:spacing w:after="0"/>
        <w:jc w:val="both"/>
        <w:rPr>
          <w:b/>
        </w:rPr>
      </w:pPr>
      <w:r>
        <w:rPr>
          <w:b/>
        </w:rPr>
        <w:t>5</w:t>
      </w:r>
      <w:r w:rsidR="00534BA5" w:rsidRPr="00534BA5">
        <w:rPr>
          <w:b/>
        </w:rPr>
        <w:t xml:space="preserve">-2 </w:t>
      </w:r>
      <w:r w:rsidR="0028005F" w:rsidRPr="00534BA5">
        <w:rPr>
          <w:b/>
        </w:rPr>
        <w:t>Les services non habilités à l’aide sociale</w:t>
      </w:r>
    </w:p>
    <w:p w14:paraId="74C5E95A" w14:textId="77777777" w:rsidR="006851E0" w:rsidRDefault="006851E0" w:rsidP="001905CC">
      <w:pPr>
        <w:spacing w:after="0"/>
        <w:jc w:val="both"/>
      </w:pPr>
    </w:p>
    <w:p w14:paraId="53D25BBB" w14:textId="55459685" w:rsidR="00CC4722" w:rsidRDefault="00CC4722" w:rsidP="001905CC">
      <w:pPr>
        <w:spacing w:after="0"/>
        <w:jc w:val="both"/>
      </w:pPr>
      <w:r>
        <w:t>Bien que non tarifés pa</w:t>
      </w:r>
      <w:r w:rsidR="006851E0">
        <w:t xml:space="preserve">r le conseil départemental, les </w:t>
      </w:r>
      <w:r>
        <w:t xml:space="preserve">SAAD non habilités à l’aide sociale peuvent conclure un CPOM. Toutefois, pour ces services, le volet </w:t>
      </w:r>
      <w:r w:rsidR="006851E0">
        <w:t>financier</w:t>
      </w:r>
      <w:r>
        <w:t xml:space="preserve"> de celui-ci comporte des différences avec le </w:t>
      </w:r>
      <w:r w:rsidR="006851E0">
        <w:t>celui</w:t>
      </w:r>
      <w:r>
        <w:t xml:space="preserve"> des CPOM signés par des services habilités.</w:t>
      </w:r>
      <w:r w:rsidR="00AD4CEA">
        <w:t xml:space="preserve"> </w:t>
      </w:r>
    </w:p>
    <w:p w14:paraId="5DD86711" w14:textId="54C623AB" w:rsidR="00DE2C9B" w:rsidRDefault="00DE2C9B" w:rsidP="001905CC">
      <w:pPr>
        <w:spacing w:after="0"/>
        <w:jc w:val="both"/>
      </w:pPr>
    </w:p>
    <w:p w14:paraId="50533561" w14:textId="33031491" w:rsidR="003C1C5A" w:rsidRDefault="003C1C5A" w:rsidP="003C1C5A">
      <w:pPr>
        <w:pStyle w:val="Paragraphedeliste"/>
        <w:numPr>
          <w:ilvl w:val="0"/>
          <w:numId w:val="20"/>
        </w:numPr>
        <w:spacing w:after="0"/>
        <w:jc w:val="both"/>
        <w:rPr>
          <w:u w:val="single"/>
        </w:rPr>
      </w:pPr>
      <w:r>
        <w:rPr>
          <w:u w:val="single"/>
        </w:rPr>
        <w:t xml:space="preserve">Fixation </w:t>
      </w:r>
      <w:r w:rsidR="006F760D">
        <w:rPr>
          <w:u w:val="single"/>
        </w:rPr>
        <w:t>du tarif horaire</w:t>
      </w:r>
      <w:r>
        <w:rPr>
          <w:u w:val="single"/>
        </w:rPr>
        <w:t xml:space="preserve"> </w:t>
      </w:r>
    </w:p>
    <w:p w14:paraId="1838DB24" w14:textId="77777777" w:rsidR="006A3704" w:rsidRPr="003C1C5A" w:rsidRDefault="006A3704" w:rsidP="006A3704">
      <w:pPr>
        <w:pStyle w:val="Paragraphedeliste"/>
        <w:spacing w:after="0"/>
        <w:jc w:val="both"/>
        <w:rPr>
          <w:u w:val="single"/>
        </w:rPr>
      </w:pPr>
    </w:p>
    <w:p w14:paraId="2B7026CD" w14:textId="0C7B15EB" w:rsidR="00087D59" w:rsidRPr="006F760D" w:rsidRDefault="005F7B5D" w:rsidP="00087D59">
      <w:pPr>
        <w:spacing w:after="0"/>
        <w:jc w:val="both"/>
      </w:pPr>
      <w:r w:rsidRPr="006F760D">
        <w:t>Le CPOM doit indiquer la d</w:t>
      </w:r>
      <w:r w:rsidR="00087D59" w:rsidRPr="006F760D">
        <w:t xml:space="preserve">étermination et </w:t>
      </w:r>
      <w:r w:rsidRPr="006F760D">
        <w:t>l</w:t>
      </w:r>
      <w:r w:rsidR="00FD5CCD">
        <w:t>es modalités d</w:t>
      </w:r>
      <w:r w:rsidRPr="006F760D">
        <w:t>’</w:t>
      </w:r>
      <w:r w:rsidR="00087D59" w:rsidRPr="006F760D">
        <w:t>évolution des moyens sur la durée du contrat :</w:t>
      </w:r>
    </w:p>
    <w:p w14:paraId="461222F5" w14:textId="7A84959B" w:rsidR="006F760D" w:rsidRDefault="006F760D" w:rsidP="006F760D">
      <w:pPr>
        <w:pStyle w:val="Paragraphedeliste"/>
        <w:numPr>
          <w:ilvl w:val="0"/>
          <w:numId w:val="10"/>
        </w:numPr>
        <w:spacing w:after="0"/>
        <w:jc w:val="both"/>
      </w:pPr>
      <w:r w:rsidRPr="006F760D">
        <w:t>Indication du</w:t>
      </w:r>
      <w:r w:rsidR="00087D59" w:rsidRPr="006F760D">
        <w:t xml:space="preserve"> tarif départemental de référence à la date de conclusion du CPOM, </w:t>
      </w:r>
      <w:r w:rsidRPr="006F760D">
        <w:t xml:space="preserve">pour la valorisation des plans au titre de </w:t>
      </w:r>
      <w:r w:rsidR="00087D59" w:rsidRPr="006F760D">
        <w:t xml:space="preserve">l’APA et </w:t>
      </w:r>
      <w:r w:rsidR="00FD5CCD">
        <w:t>au titre de la PCH,</w:t>
      </w:r>
    </w:p>
    <w:p w14:paraId="4979DC0E" w14:textId="4BD6511F" w:rsidR="00087D59" w:rsidRDefault="00FD5CCD" w:rsidP="00087D59">
      <w:pPr>
        <w:pStyle w:val="Paragraphedeliste"/>
        <w:numPr>
          <w:ilvl w:val="0"/>
          <w:numId w:val="10"/>
        </w:numPr>
        <w:spacing w:after="0"/>
        <w:jc w:val="both"/>
      </w:pPr>
      <w:r>
        <w:t xml:space="preserve">Son évolution éventuelle, </w:t>
      </w:r>
      <w:r w:rsidR="00087D59" w:rsidRPr="006F760D">
        <w:t>arrêtée par le/la Président(e) du Conseil départemental. Il tient compte du montant minimal f</w:t>
      </w:r>
      <w:r>
        <w:t>ixé annuellement par arrêté interministériel</w:t>
      </w:r>
      <w:r w:rsidR="006F760D" w:rsidRPr="006F760D">
        <w:t>.</w:t>
      </w:r>
    </w:p>
    <w:p w14:paraId="07227171" w14:textId="24653FCF" w:rsidR="00087D59" w:rsidRDefault="00087D59" w:rsidP="00087D59">
      <w:pPr>
        <w:spacing w:after="0"/>
        <w:jc w:val="both"/>
      </w:pPr>
    </w:p>
    <w:p w14:paraId="33120C93" w14:textId="1079010E" w:rsidR="00087D59" w:rsidRDefault="00087D59" w:rsidP="00FD5CCD">
      <w:pPr>
        <w:pStyle w:val="Paragraphedeliste"/>
        <w:numPr>
          <w:ilvl w:val="0"/>
          <w:numId w:val="20"/>
        </w:numPr>
        <w:spacing w:after="0"/>
        <w:jc w:val="both"/>
      </w:pPr>
      <w:r w:rsidRPr="00FD5CCD">
        <w:rPr>
          <w:u w:val="single"/>
        </w:rPr>
        <w:t>D</w:t>
      </w:r>
      <w:r w:rsidR="003C1C5A" w:rsidRPr="00FD5CCD">
        <w:rPr>
          <w:u w:val="single"/>
        </w:rPr>
        <w:t>étermination et versement de la dotation complémentaire</w:t>
      </w:r>
      <w:r w:rsidR="003C1C5A">
        <w:t xml:space="preserve"> </w:t>
      </w:r>
    </w:p>
    <w:p w14:paraId="0D2A357B" w14:textId="77777777" w:rsidR="006A3704" w:rsidRDefault="006A3704" w:rsidP="006A3704">
      <w:pPr>
        <w:pStyle w:val="Paragraphedeliste"/>
        <w:spacing w:after="0"/>
        <w:jc w:val="both"/>
      </w:pPr>
    </w:p>
    <w:p w14:paraId="020002A6" w14:textId="5DC115DF" w:rsidR="006A3704" w:rsidRDefault="006F760D" w:rsidP="00087D59">
      <w:pPr>
        <w:spacing w:after="0"/>
        <w:jc w:val="both"/>
      </w:pPr>
      <w:r>
        <w:t xml:space="preserve">Les modalités de détermination et de versement de cette dotation sont les mêmes que celles </w:t>
      </w:r>
      <w:proofErr w:type="gramStart"/>
      <w:r>
        <w:t>exposées</w:t>
      </w:r>
      <w:r w:rsidR="00B50FD0">
        <w:t xml:space="preserve"> </w:t>
      </w:r>
      <w:r>
        <w:t xml:space="preserve"> pour</w:t>
      </w:r>
      <w:proofErr w:type="gramEnd"/>
      <w:r>
        <w:t xml:space="preserve"> les servi</w:t>
      </w:r>
      <w:r w:rsidR="00B50FD0">
        <w:t>ces habilités à l’aide sociale (</w:t>
      </w:r>
      <w:proofErr w:type="spellStart"/>
      <w:r w:rsidR="00B50FD0">
        <w:t>cf</w:t>
      </w:r>
      <w:proofErr w:type="spellEnd"/>
      <w:r w:rsidR="00B50FD0">
        <w:t xml:space="preserve"> au 2 du point 5-1)</w:t>
      </w:r>
      <w:r>
        <w:t>.</w:t>
      </w:r>
    </w:p>
    <w:p w14:paraId="52E9BE30" w14:textId="761F82B6" w:rsidR="00087D59" w:rsidRDefault="00087D59" w:rsidP="00087D59">
      <w:pPr>
        <w:spacing w:after="0"/>
        <w:jc w:val="both"/>
      </w:pPr>
    </w:p>
    <w:p w14:paraId="31E6742F" w14:textId="3C7E88D2" w:rsidR="00B50FD0" w:rsidRDefault="00B50FD0" w:rsidP="00087D59">
      <w:pPr>
        <w:spacing w:after="0"/>
        <w:jc w:val="both"/>
      </w:pPr>
    </w:p>
    <w:p w14:paraId="5D53AA2B" w14:textId="7FE4ED48" w:rsidR="00B50FD0" w:rsidRDefault="00B50FD0" w:rsidP="00087D59">
      <w:pPr>
        <w:spacing w:after="0"/>
        <w:jc w:val="both"/>
      </w:pPr>
    </w:p>
    <w:p w14:paraId="0C6FD101" w14:textId="3076D437" w:rsidR="00B50FD0" w:rsidRDefault="00B50FD0" w:rsidP="00087D59">
      <w:pPr>
        <w:spacing w:after="0"/>
        <w:jc w:val="both"/>
      </w:pPr>
    </w:p>
    <w:p w14:paraId="59B81B85" w14:textId="77777777" w:rsidR="00B50FD0" w:rsidRDefault="00B50FD0" w:rsidP="00087D59">
      <w:pPr>
        <w:spacing w:after="0"/>
        <w:jc w:val="both"/>
      </w:pPr>
    </w:p>
    <w:p w14:paraId="17295FC4" w14:textId="17ACF835" w:rsidR="00FD5CCD" w:rsidRDefault="00FD5CCD" w:rsidP="00FD5CCD">
      <w:pPr>
        <w:pStyle w:val="Paragraphedeliste"/>
        <w:numPr>
          <w:ilvl w:val="0"/>
          <w:numId w:val="20"/>
        </w:numPr>
        <w:spacing w:after="0"/>
        <w:jc w:val="both"/>
        <w:rPr>
          <w:u w:val="single"/>
        </w:rPr>
      </w:pPr>
      <w:r w:rsidRPr="00FD5CCD">
        <w:rPr>
          <w:u w:val="single"/>
        </w:rPr>
        <w:t>Limitation du reste à charge</w:t>
      </w:r>
    </w:p>
    <w:p w14:paraId="61BAC293" w14:textId="77777777" w:rsidR="006A3704" w:rsidRPr="00FD5CCD" w:rsidRDefault="006A3704" w:rsidP="006A3704">
      <w:pPr>
        <w:pStyle w:val="Paragraphedeliste"/>
        <w:spacing w:after="0"/>
        <w:jc w:val="both"/>
        <w:rPr>
          <w:u w:val="single"/>
        </w:rPr>
      </w:pPr>
    </w:p>
    <w:p w14:paraId="6C32085C" w14:textId="2888BDBC" w:rsidR="00087D59" w:rsidRPr="00FD5CCD" w:rsidRDefault="00FD5CCD" w:rsidP="00FD5CCD">
      <w:pPr>
        <w:spacing w:after="0"/>
        <w:jc w:val="both"/>
        <w:rPr>
          <w:b/>
        </w:rPr>
      </w:pPr>
      <w:r>
        <w:t>C</w:t>
      </w:r>
      <w:r w:rsidR="006F760D">
        <w:t>onformément à ce que prévoit la loi, e</w:t>
      </w:r>
      <w:r w:rsidR="003C1C5A">
        <w:t xml:space="preserve">n contrepartie du bénéfice de la dotation complémentaire, </w:t>
      </w:r>
      <w:r w:rsidR="003C1C5A" w:rsidRPr="00FD5CCD">
        <w:rPr>
          <w:b/>
        </w:rPr>
        <w:t xml:space="preserve">le CPOM </w:t>
      </w:r>
      <w:r w:rsidR="006F760D" w:rsidRPr="00FD5CCD">
        <w:rPr>
          <w:b/>
        </w:rPr>
        <w:t xml:space="preserve">conclu par les services non habilités à l’aide sociale </w:t>
      </w:r>
      <w:r w:rsidR="003C1C5A" w:rsidRPr="00FD5CCD">
        <w:rPr>
          <w:b/>
        </w:rPr>
        <w:t>doit</w:t>
      </w:r>
      <w:r w:rsidR="006F760D" w:rsidRPr="00FD5CCD">
        <w:rPr>
          <w:b/>
        </w:rPr>
        <w:t xml:space="preserve"> </w:t>
      </w:r>
      <w:r w:rsidR="003C1C5A" w:rsidRPr="00FD5CCD">
        <w:rPr>
          <w:b/>
        </w:rPr>
        <w:t>indiquer les m</w:t>
      </w:r>
      <w:r w:rsidR="00087D59" w:rsidRPr="00FD5CCD">
        <w:rPr>
          <w:b/>
        </w:rPr>
        <w:t xml:space="preserve">odalités de limitation du reste à charge des bénéficiaires. </w:t>
      </w:r>
    </w:p>
    <w:p w14:paraId="591DF1BA" w14:textId="77777777" w:rsidR="00893C30" w:rsidRDefault="00893C30" w:rsidP="00893C30">
      <w:pPr>
        <w:jc w:val="both"/>
        <w:rPr>
          <w:rFonts w:eastAsia="Calibri" w:cs="Calibri"/>
          <w:b/>
        </w:rPr>
      </w:pPr>
    </w:p>
    <w:p w14:paraId="2E963A2D" w14:textId="62790E14" w:rsidR="00893C30" w:rsidRDefault="00893C30" w:rsidP="00893C30">
      <w:pPr>
        <w:jc w:val="both"/>
        <w:rPr>
          <w:rFonts w:eastAsia="Calibri" w:cs="Calibri"/>
        </w:rPr>
      </w:pPr>
      <w:r>
        <w:rPr>
          <w:rFonts w:eastAsia="Calibri" w:cs="Calibri"/>
          <w:b/>
        </w:rPr>
        <w:t>La limitation du reste à charge</w:t>
      </w:r>
      <w:r w:rsidRPr="002E6B4B">
        <w:rPr>
          <w:rFonts w:eastAsia="Calibri" w:cs="Calibri"/>
          <w:b/>
        </w:rPr>
        <w:t xml:space="preserve"> a</w:t>
      </w:r>
      <w:r>
        <w:rPr>
          <w:rFonts w:eastAsia="Calibri" w:cs="Calibri"/>
          <w:b/>
        </w:rPr>
        <w:t xml:space="preserve"> vocation à être quantifiable et vérifiable. </w:t>
      </w:r>
      <w:r>
        <w:rPr>
          <w:rFonts w:eastAsia="Calibri" w:cs="Calibri"/>
        </w:rPr>
        <w:t>Il s’agit d’un objectif du CPOM que la LFSS 2022 a codifié à l’article L. 313-11-1 du CASF, et un service qui manquerait à ses engagements à ce titre pourrait se voir suspendre le bénéfice de la dotation complémentaire. Il convient donc de prévoir un indicateur de suivi spécifique (ou plusieurs) pour garantir l’effectivité de la limitation du reste à charge. Ne serait pas suffisant un CPOM se contentant de rappeler cet engagement, ou se bornant à répéter l’obligation légale posée par l’article L. 347-1 CASF sur l’arrêté d’évolution des prix.</w:t>
      </w:r>
    </w:p>
    <w:p w14:paraId="1D011AF1" w14:textId="508FF85F" w:rsidR="00B622EE" w:rsidRDefault="00B622EE" w:rsidP="001905CC">
      <w:pPr>
        <w:spacing w:after="0"/>
        <w:jc w:val="both"/>
      </w:pPr>
    </w:p>
    <w:p w14:paraId="55541FFB" w14:textId="2F0F8888" w:rsidR="00061790" w:rsidRDefault="00061790" w:rsidP="001905CC">
      <w:pPr>
        <w:spacing w:after="0"/>
        <w:jc w:val="both"/>
      </w:pPr>
    </w:p>
    <w:p w14:paraId="30DF647D" w14:textId="77777777" w:rsidR="00061790" w:rsidRDefault="00061790" w:rsidP="001905CC">
      <w:pPr>
        <w:spacing w:after="0"/>
        <w:jc w:val="both"/>
        <w:rPr>
          <w:color w:val="FF0000"/>
        </w:rPr>
      </w:pPr>
    </w:p>
    <w:p w14:paraId="3843FC39" w14:textId="61EF2E6E" w:rsidR="000847E0" w:rsidRPr="00B50FD0" w:rsidRDefault="00CF07B3" w:rsidP="00B50FD0">
      <w:pPr>
        <w:pStyle w:val="Paragraphedeliste"/>
        <w:numPr>
          <w:ilvl w:val="0"/>
          <w:numId w:val="4"/>
        </w:numPr>
        <w:jc w:val="both"/>
        <w:rPr>
          <w:b/>
          <w:sz w:val="24"/>
        </w:rPr>
      </w:pPr>
      <w:r w:rsidRPr="006D01B0">
        <w:rPr>
          <w:b/>
          <w:sz w:val="24"/>
        </w:rPr>
        <w:t>Le suivi du contrat</w:t>
      </w:r>
      <w:r w:rsidR="009A6A5C" w:rsidRPr="006D01B0">
        <w:rPr>
          <w:b/>
          <w:sz w:val="24"/>
        </w:rPr>
        <w:t> : le dialogue de gestion</w:t>
      </w:r>
    </w:p>
    <w:p w14:paraId="4A3A2177" w14:textId="5290481F" w:rsidR="0096221D" w:rsidRDefault="0096221D" w:rsidP="000847E0">
      <w:pPr>
        <w:spacing w:after="0" w:line="240" w:lineRule="auto"/>
        <w:jc w:val="both"/>
        <w:rPr>
          <w:rFonts w:eastAsia="Times New Roman" w:cstheme="minorHAnsi"/>
          <w:lang w:eastAsia="fr-FR"/>
        </w:rPr>
      </w:pPr>
      <w:r w:rsidRPr="0064722D">
        <w:rPr>
          <w:rFonts w:eastAsia="Times New Roman" w:cstheme="minorHAnsi"/>
          <w:lang w:eastAsia="fr-FR"/>
        </w:rPr>
        <w:t>Il est recommandé que chaque année, l’organisme gestionnaire adresse</w:t>
      </w:r>
      <w:r>
        <w:rPr>
          <w:rFonts w:eastAsia="Times New Roman" w:cstheme="minorHAnsi"/>
          <w:lang w:eastAsia="fr-FR"/>
        </w:rPr>
        <w:t>,</w:t>
      </w:r>
      <w:r w:rsidRPr="0064722D">
        <w:rPr>
          <w:rFonts w:eastAsia="Times New Roman" w:cstheme="minorHAnsi"/>
          <w:lang w:eastAsia="fr-FR"/>
        </w:rPr>
        <w:t xml:space="preserve"> en même temps que les comptes administratifs, </w:t>
      </w:r>
      <w:r w:rsidRPr="000847E0">
        <w:rPr>
          <w:rFonts w:eastAsia="Times New Roman" w:cstheme="minorHAnsi"/>
          <w:b/>
          <w:lang w:eastAsia="fr-FR"/>
        </w:rPr>
        <w:t>un bilan d’étape de la mise en œuvre des actions prévues au contrat</w:t>
      </w:r>
      <w:r>
        <w:rPr>
          <w:rFonts w:eastAsia="Times New Roman" w:cstheme="minorHAnsi"/>
          <w:lang w:eastAsia="fr-FR"/>
        </w:rPr>
        <w:t>.</w:t>
      </w:r>
    </w:p>
    <w:p w14:paraId="042BB51E" w14:textId="77777777" w:rsidR="00B50FD0" w:rsidRPr="000847E0" w:rsidRDefault="00B50FD0" w:rsidP="000847E0">
      <w:pPr>
        <w:spacing w:after="0" w:line="240" w:lineRule="auto"/>
        <w:jc w:val="both"/>
        <w:rPr>
          <w:rFonts w:eastAsia="Times New Roman" w:cstheme="minorHAnsi"/>
          <w:lang w:eastAsia="fr-FR"/>
        </w:rPr>
      </w:pPr>
    </w:p>
    <w:p w14:paraId="4A5F12D3" w14:textId="4B759EEF" w:rsidR="005D2080" w:rsidRDefault="005D2080" w:rsidP="001905CC">
      <w:pPr>
        <w:jc w:val="both"/>
      </w:pPr>
      <w:r>
        <w:t>Le dialogue de gestion doit être considéré comme un réel outil partagé au service des objectifs fixés et doit permettre d’analyser les écarts pour ajuster les objectifs sur la durée du CPOM. Les modalités éventuelles d’ajustement des écarts et de financements supplémentaires ou de récupérations doivent être prévues dans ce cadre.</w:t>
      </w:r>
    </w:p>
    <w:p w14:paraId="61EF07A8" w14:textId="39DD079E" w:rsidR="000847E0" w:rsidRDefault="000847E0" w:rsidP="000847E0">
      <w:pPr>
        <w:jc w:val="both"/>
      </w:pPr>
      <w:r>
        <w:t>L’exécution du contrat fait l’objet d’un suivi</w:t>
      </w:r>
      <w:r w:rsidR="004455A8">
        <w:t xml:space="preserve"> conjoint du gestionnaire et du conseil départemental </w:t>
      </w:r>
      <w:r>
        <w:t xml:space="preserve">au sein d’une comitologie à définir dans le contrat. </w:t>
      </w:r>
    </w:p>
    <w:p w14:paraId="2A059BFD" w14:textId="77777777" w:rsidR="000847E0" w:rsidRDefault="000847E0" w:rsidP="000847E0">
      <w:pPr>
        <w:jc w:val="both"/>
      </w:pPr>
      <w:r>
        <w:t xml:space="preserve">Le </w:t>
      </w:r>
      <w:r w:rsidRPr="000847E0">
        <w:t>comité de pilotage du CPOM</w:t>
      </w:r>
      <w:r>
        <w:t xml:space="preserve"> constitué pour l’élaboration du CPOM peut se transformer en </w:t>
      </w:r>
      <w:r w:rsidRPr="000847E0">
        <w:rPr>
          <w:b/>
        </w:rPr>
        <w:t>comité de suivi et d’évaluation du contrat</w:t>
      </w:r>
      <w:r>
        <w:t>. Ce comité de suivi peut comprendre deux niveaux :</w:t>
      </w:r>
    </w:p>
    <w:p w14:paraId="343DF83A" w14:textId="77777777" w:rsidR="000847E0" w:rsidRDefault="000847E0" w:rsidP="000847E0">
      <w:pPr>
        <w:jc w:val="both"/>
      </w:pPr>
      <w:r>
        <w:t>•</w:t>
      </w:r>
      <w:r>
        <w:tab/>
        <w:t>Un niveau technique, pour un suivi régulier,</w:t>
      </w:r>
    </w:p>
    <w:p w14:paraId="7A5F2364" w14:textId="58CFF74C" w:rsidR="000847E0" w:rsidRDefault="000847E0" w:rsidP="000847E0">
      <w:pPr>
        <w:jc w:val="both"/>
      </w:pPr>
      <w:r>
        <w:t>•</w:t>
      </w:r>
      <w:r>
        <w:tab/>
        <w:t>Un niveau stratégique, qui peut être prévu notamment pour un bilan d’étape, à mi-parcours du contrat, et pour l’évaluation finale du contrat préalable à son renouvellement.</w:t>
      </w:r>
    </w:p>
    <w:p w14:paraId="16686A27" w14:textId="09ED3AF0" w:rsidR="00590FFC" w:rsidRDefault="00590FFC" w:rsidP="00590FFC">
      <w:pPr>
        <w:spacing w:after="0"/>
        <w:jc w:val="both"/>
        <w:rPr>
          <w:b/>
          <w:color w:val="1F497D" w:themeColor="text2"/>
        </w:rPr>
      </w:pPr>
      <w:r w:rsidRPr="00AD23BA">
        <w:rPr>
          <w:rFonts w:cstheme="minorHAnsi"/>
          <w:b/>
          <w:color w:val="1F497D" w:themeColor="text2"/>
        </w:rPr>
        <w:t xml:space="preserve">→ prévoir </w:t>
      </w:r>
      <w:r w:rsidRPr="00AD23BA">
        <w:rPr>
          <w:b/>
          <w:color w:val="1F497D" w:themeColor="text2"/>
        </w:rPr>
        <w:t xml:space="preserve">un </w:t>
      </w:r>
      <w:r w:rsidR="00D14CD3">
        <w:rPr>
          <w:b/>
          <w:color w:val="1F497D" w:themeColor="text2"/>
        </w:rPr>
        <w:t>relevé de décisions</w:t>
      </w:r>
      <w:r w:rsidRPr="00AD23BA">
        <w:rPr>
          <w:b/>
          <w:color w:val="1F497D" w:themeColor="text2"/>
        </w:rPr>
        <w:t xml:space="preserve"> écrit et validé par les deux parties, de chaque dialogue de gestion.</w:t>
      </w:r>
    </w:p>
    <w:p w14:paraId="3D4F107B" w14:textId="77777777" w:rsidR="00590FFC" w:rsidRDefault="00590FFC" w:rsidP="000847E0">
      <w:pPr>
        <w:jc w:val="both"/>
      </w:pPr>
    </w:p>
    <w:p w14:paraId="33FCFB05" w14:textId="4633E72E" w:rsidR="005D2080" w:rsidRDefault="005D2080" w:rsidP="001905CC">
      <w:pPr>
        <w:jc w:val="both"/>
      </w:pPr>
      <w:r w:rsidRPr="00BA3ABB">
        <w:rPr>
          <w:rFonts w:cstheme="minorHAnsi"/>
          <w:b/>
          <w:color w:val="1F497D" w:themeColor="text2"/>
        </w:rPr>
        <w:t>→</w:t>
      </w:r>
      <w:r>
        <w:rPr>
          <w:rFonts w:cstheme="minorHAnsi"/>
          <w:b/>
          <w:color w:val="1F497D" w:themeColor="text2"/>
        </w:rPr>
        <w:t xml:space="preserve"> prévoir, dans la mesure du possible, un dialogue de gestion annuel</w:t>
      </w:r>
      <w:r w:rsidR="00E936E9">
        <w:rPr>
          <w:rFonts w:cstheme="minorHAnsi"/>
          <w:b/>
          <w:color w:val="1F497D" w:themeColor="text2"/>
        </w:rPr>
        <w:t xml:space="preserve"> ou a minima à mi-parcours</w:t>
      </w:r>
    </w:p>
    <w:p w14:paraId="77C41A97" w14:textId="2034CFDF" w:rsidR="005D2080" w:rsidRDefault="005D2080" w:rsidP="001905CC">
      <w:pPr>
        <w:jc w:val="both"/>
      </w:pPr>
      <w:r w:rsidRPr="0064722D">
        <w:rPr>
          <w:b/>
        </w:rPr>
        <w:t>Le contrat prévoit la périodicité des rencontres</w:t>
      </w:r>
      <w:r>
        <w:t xml:space="preserve"> et la possibilité, en cas de difficultés dans la mise en œuvre du contrat</w:t>
      </w:r>
      <w:r w:rsidR="00AD23BA" w:rsidRPr="00AD23BA">
        <w:t xml:space="preserve"> </w:t>
      </w:r>
      <w:r w:rsidR="00AD23BA">
        <w:t>ou lors de changements significatifs et imprévus</w:t>
      </w:r>
      <w:r>
        <w:t>, de réunir le comité autant que de besoin à l’initiative de l’une ou de l’autre des parties.</w:t>
      </w:r>
    </w:p>
    <w:p w14:paraId="13AF78E2" w14:textId="4E217058" w:rsidR="005D2080" w:rsidRDefault="005D2080" w:rsidP="001905CC">
      <w:pPr>
        <w:jc w:val="both"/>
      </w:pPr>
      <w:r>
        <w:t xml:space="preserve">Des échanges dématérialisés peuvent également avoir lieu, ainsi que le recours aux dispositifs de téléconférence pour éviter les déplacements trop nombreux. </w:t>
      </w:r>
    </w:p>
    <w:p w14:paraId="511E7AEA" w14:textId="0D72BF99" w:rsidR="00B27475" w:rsidRDefault="0096221D" w:rsidP="001905CC">
      <w:pPr>
        <w:jc w:val="both"/>
      </w:pPr>
      <w:r>
        <w:t>Le dialogue de gestion</w:t>
      </w:r>
      <w:r w:rsidR="00B27475">
        <w:t xml:space="preserve"> ne doit pas être négligé, notamment dans le cadre du </w:t>
      </w:r>
      <w:r w:rsidR="00B27475" w:rsidRPr="0064722D">
        <w:rPr>
          <w:b/>
        </w:rPr>
        <w:t>suivi de l’utilisation de la dotation complémentaire</w:t>
      </w:r>
      <w:r w:rsidR="00B27475">
        <w:t xml:space="preserve">. En effet, celle-ci peut être </w:t>
      </w:r>
      <w:r>
        <w:t>suspendue</w:t>
      </w:r>
      <w:r w:rsidR="00B27475">
        <w:t xml:space="preserve">, voire récupérée par le conseil départemental dans le cas </w:t>
      </w:r>
      <w:r w:rsidR="00B27475" w:rsidRPr="00B27475">
        <w:t>où le service ne réalise pas ces actions ou n’applique pas les modalités de limitation du reste à charge prévues par le contrat.</w:t>
      </w:r>
    </w:p>
    <w:p w14:paraId="19EE2AD5" w14:textId="7393409F" w:rsidR="00B27475" w:rsidRDefault="00072C5C" w:rsidP="001905CC">
      <w:pPr>
        <w:jc w:val="both"/>
      </w:pPr>
      <w:r>
        <w:t xml:space="preserve">A ce titre, il est </w:t>
      </w:r>
      <w:r w:rsidR="005D2080">
        <w:t xml:space="preserve">également </w:t>
      </w:r>
      <w:r>
        <w:t>impératif que l</w:t>
      </w:r>
      <w:r w:rsidRPr="00072C5C">
        <w:t>es modalités de contrôle, de cessation ou de récupération par le président du conseil dépa</w:t>
      </w:r>
      <w:r>
        <w:t xml:space="preserve">rtemental de la dotation dans cette </w:t>
      </w:r>
      <w:r w:rsidRPr="00072C5C">
        <w:t xml:space="preserve">hypothèse </w:t>
      </w:r>
      <w:r>
        <w:t xml:space="preserve">soient </w:t>
      </w:r>
      <w:r w:rsidRPr="00072C5C">
        <w:t>prévues par le contrat. Il importe en particulier de mentionner par qui les contrôles pourront être menés (par exemple, les agents des services départementaux dûment habilités), et selon quelles modalités (par exemple, un contrôle sur place et sur pièces).</w:t>
      </w:r>
    </w:p>
    <w:p w14:paraId="73231589" w14:textId="77777777" w:rsidR="00C51CD7" w:rsidRPr="0096221D" w:rsidRDefault="00C51CD7" w:rsidP="001905CC">
      <w:pPr>
        <w:jc w:val="both"/>
      </w:pPr>
    </w:p>
    <w:p w14:paraId="081A676B" w14:textId="77777777" w:rsidR="00C51CD7" w:rsidRPr="006D01B0" w:rsidRDefault="00C51CD7" w:rsidP="00C51CD7">
      <w:pPr>
        <w:pStyle w:val="Paragraphedeliste"/>
        <w:numPr>
          <w:ilvl w:val="0"/>
          <w:numId w:val="4"/>
        </w:numPr>
        <w:spacing w:after="0"/>
        <w:jc w:val="both"/>
        <w:rPr>
          <w:b/>
          <w:sz w:val="24"/>
        </w:rPr>
      </w:pPr>
      <w:r w:rsidRPr="006D01B0">
        <w:rPr>
          <w:b/>
          <w:sz w:val="24"/>
        </w:rPr>
        <w:t>La rédaction et la signature du contrat</w:t>
      </w:r>
    </w:p>
    <w:p w14:paraId="77FE294B" w14:textId="77777777" w:rsidR="00C51CD7" w:rsidRDefault="00C51CD7" w:rsidP="00C51CD7">
      <w:pPr>
        <w:spacing w:after="0"/>
        <w:jc w:val="both"/>
        <w:rPr>
          <w:color w:val="FF0000"/>
        </w:rPr>
      </w:pPr>
    </w:p>
    <w:p w14:paraId="6C830FA4" w14:textId="77777777" w:rsidR="00C51CD7" w:rsidRDefault="00C51CD7" w:rsidP="00C51CD7">
      <w:pPr>
        <w:spacing w:after="0"/>
        <w:jc w:val="both"/>
      </w:pPr>
      <w:r>
        <w:t>L’utilisation du modèle de CPOM élaboré par la DGCS et la CNSA dans le cadre des travaux du groupe de travail relatif à la dotation complémentaire est recommandée.  Il peut être adapté par les parties signataires.</w:t>
      </w:r>
    </w:p>
    <w:p w14:paraId="2CFCADB0" w14:textId="77777777" w:rsidR="00C51CD7" w:rsidRDefault="00C51CD7" w:rsidP="00C51CD7">
      <w:pPr>
        <w:spacing w:after="0"/>
        <w:jc w:val="both"/>
      </w:pPr>
    </w:p>
    <w:p w14:paraId="36F85605" w14:textId="00CD0408" w:rsidR="00C51CD7" w:rsidRPr="004455A8" w:rsidRDefault="00C51CD7" w:rsidP="00C51CD7">
      <w:pPr>
        <w:spacing w:after="0"/>
        <w:jc w:val="both"/>
        <w:rPr>
          <w:highlight w:val="yellow"/>
        </w:rPr>
      </w:pPr>
      <w:r>
        <w:t xml:space="preserve">De plus, il est important de signaler que </w:t>
      </w:r>
      <w:r w:rsidRPr="00FD3195">
        <w:rPr>
          <w:b/>
        </w:rPr>
        <w:t>les annexes sont parties intégrantes du CPOM</w:t>
      </w:r>
      <w:r>
        <w:t xml:space="preserve"> (elles ont la même nature juridique que le corps du contrat) et doivent être jointes au document au moment de la signature</w:t>
      </w:r>
      <w:r w:rsidRPr="00813A32">
        <w:t xml:space="preserve">. </w:t>
      </w:r>
    </w:p>
    <w:p w14:paraId="176C50F6" w14:textId="77777777" w:rsidR="009A6A5C" w:rsidRDefault="009A6A5C" w:rsidP="001905CC">
      <w:pPr>
        <w:spacing w:after="0"/>
        <w:jc w:val="both"/>
      </w:pPr>
    </w:p>
    <w:p w14:paraId="2C09FF14" w14:textId="024BACAA" w:rsidR="00AC00F0" w:rsidRDefault="00AC00F0" w:rsidP="001905CC">
      <w:pPr>
        <w:spacing w:after="0"/>
        <w:jc w:val="both"/>
        <w:rPr>
          <w:b/>
          <w:color w:val="1F497D" w:themeColor="text2"/>
        </w:rPr>
      </w:pPr>
    </w:p>
    <w:p w14:paraId="2C2B9CA6" w14:textId="111E8F93" w:rsidR="00AC00F0" w:rsidRDefault="00AC00F0" w:rsidP="00C51CD7">
      <w:pPr>
        <w:pStyle w:val="Paragraphedeliste"/>
        <w:numPr>
          <w:ilvl w:val="0"/>
          <w:numId w:val="4"/>
        </w:numPr>
        <w:spacing w:after="0"/>
        <w:jc w:val="both"/>
        <w:rPr>
          <w:b/>
          <w:sz w:val="24"/>
        </w:rPr>
      </w:pPr>
      <w:r w:rsidRPr="00AC00F0">
        <w:rPr>
          <w:b/>
          <w:sz w:val="24"/>
        </w:rPr>
        <w:t>Le renouvellement du contrat</w:t>
      </w:r>
    </w:p>
    <w:p w14:paraId="5C76B55F" w14:textId="77777777" w:rsidR="00925A0C" w:rsidRDefault="00925A0C" w:rsidP="00925A0C">
      <w:pPr>
        <w:pStyle w:val="Paragraphedeliste"/>
        <w:spacing w:after="0"/>
        <w:jc w:val="both"/>
        <w:rPr>
          <w:b/>
          <w:sz w:val="24"/>
        </w:rPr>
      </w:pPr>
    </w:p>
    <w:p w14:paraId="7D8D734C" w14:textId="1A67B8C0" w:rsidR="00AC00F0" w:rsidRPr="00AC00F0" w:rsidRDefault="00AC00F0" w:rsidP="00AC00F0">
      <w:pPr>
        <w:pStyle w:val="Paragraphedeliste"/>
        <w:spacing w:after="0"/>
        <w:ind w:left="0"/>
        <w:jc w:val="both"/>
      </w:pPr>
      <w:r>
        <w:t>Il est recommandé qu’</w:t>
      </w:r>
      <w:r w:rsidRPr="00F70517">
        <w:rPr>
          <w:b/>
        </w:rPr>
        <w:t>au plus tard six mois avant l’échéance du contrat</w:t>
      </w:r>
      <w:r w:rsidR="00F1471C">
        <w:t>, si aucune des parties n</w:t>
      </w:r>
      <w:r w:rsidRPr="00AC00F0">
        <w:t xml:space="preserve">’a manifesté le souhait de proroger le contrat en vigueur, </w:t>
      </w:r>
      <w:r w:rsidRPr="00F70517">
        <w:rPr>
          <w:b/>
        </w:rPr>
        <w:t>les parties signataires entament une négociation</w:t>
      </w:r>
      <w:r w:rsidRPr="00AC00F0">
        <w:t xml:space="preserve"> en vue d’un nouveau contrat.</w:t>
      </w:r>
    </w:p>
    <w:p w14:paraId="4620EF29" w14:textId="452D55A2" w:rsidR="00CF07B3" w:rsidRDefault="00CF07B3" w:rsidP="001905CC">
      <w:pPr>
        <w:spacing w:after="0"/>
        <w:jc w:val="both"/>
        <w:rPr>
          <w:color w:val="FF0000"/>
        </w:rPr>
      </w:pPr>
    </w:p>
    <w:p w14:paraId="19714AF0" w14:textId="17B1DBA4" w:rsidR="005A2C2A" w:rsidRPr="005A2C2A" w:rsidRDefault="005A2C2A" w:rsidP="001905CC">
      <w:pPr>
        <w:spacing w:after="0"/>
        <w:jc w:val="both"/>
        <w:rPr>
          <w:b/>
          <w:color w:val="1F497D" w:themeColor="text2"/>
        </w:rPr>
      </w:pPr>
      <w:r w:rsidRPr="005A2C2A">
        <w:rPr>
          <w:rFonts w:cstheme="minorHAnsi"/>
          <w:b/>
          <w:color w:val="1F497D" w:themeColor="text2"/>
        </w:rPr>
        <w:t>→</w:t>
      </w:r>
      <w:r w:rsidRPr="005A2C2A">
        <w:rPr>
          <w:b/>
          <w:color w:val="1F497D" w:themeColor="text2"/>
        </w:rPr>
        <w:t xml:space="preserve"> réaliser un bilan du CPOM</w:t>
      </w:r>
    </w:p>
    <w:p w14:paraId="0EB68C00" w14:textId="1B6547AC" w:rsidR="00925A0C" w:rsidRDefault="00925A0C" w:rsidP="00925A0C">
      <w:pPr>
        <w:spacing w:after="0"/>
        <w:jc w:val="both"/>
      </w:pPr>
      <w:r>
        <w:t xml:space="preserve">Le bilan du CPOM est un préalable à la négociation du futur contrat. </w:t>
      </w:r>
    </w:p>
    <w:p w14:paraId="1555CF2D" w14:textId="77777777" w:rsidR="00925A0C" w:rsidRDefault="00925A0C" w:rsidP="001905CC">
      <w:pPr>
        <w:spacing w:after="0"/>
        <w:jc w:val="both"/>
      </w:pPr>
    </w:p>
    <w:p w14:paraId="1427C42D" w14:textId="0F7DDBB0" w:rsidR="00925A0C" w:rsidRDefault="00925A0C" w:rsidP="001905CC">
      <w:pPr>
        <w:spacing w:after="0"/>
        <w:jc w:val="both"/>
      </w:pPr>
      <w:r>
        <w:t>Cette</w:t>
      </w:r>
      <w:r w:rsidR="005A2C2A">
        <w:t xml:space="preserve"> négociation consiste à</w:t>
      </w:r>
      <w:r>
        <w:t xml:space="preserve"> faire</w:t>
      </w:r>
      <w:r w:rsidR="00AC00F0" w:rsidRPr="005A2C2A">
        <w:t xml:space="preserve"> un bil</w:t>
      </w:r>
      <w:r>
        <w:t>an de la réalisation du contrat.</w:t>
      </w:r>
    </w:p>
    <w:p w14:paraId="6D759E8F" w14:textId="25E3531F" w:rsidR="00B62EE1" w:rsidRPr="005A2C2A" w:rsidRDefault="00925A0C" w:rsidP="001905CC">
      <w:pPr>
        <w:spacing w:after="0"/>
        <w:jc w:val="both"/>
      </w:pPr>
      <w:r>
        <w:t>Puis, en cas de bilan positif, il s’agit</w:t>
      </w:r>
      <w:r w:rsidR="00AC00F0" w:rsidRPr="005A2C2A">
        <w:t xml:space="preserve"> d’actualiser ou de reconduire les objectifs </w:t>
      </w:r>
      <w:r w:rsidR="005A2C2A" w:rsidRPr="005A2C2A">
        <w:t>et les moyens dans le cadre du</w:t>
      </w:r>
      <w:r w:rsidR="00AC00F0" w:rsidRPr="005A2C2A">
        <w:t xml:space="preserve"> nouveau contrat en fonction de l’évolution des besoins et des priorités définies par le département</w:t>
      </w:r>
      <w:r w:rsidR="005A2C2A" w:rsidRPr="005A2C2A">
        <w:t xml:space="preserve">. Il conviendra notamment </w:t>
      </w:r>
      <w:r w:rsidR="005A2C2A" w:rsidRPr="005A2C2A">
        <w:rPr>
          <w:b/>
        </w:rPr>
        <w:t>d’évaluer les actions réalisées en contrepartie de la dotation complémentaire</w:t>
      </w:r>
      <w:r w:rsidR="005A2C2A">
        <w:rPr>
          <w:b/>
        </w:rPr>
        <w:t xml:space="preserve">. </w:t>
      </w:r>
      <w:r w:rsidR="005A2C2A" w:rsidRPr="005A2C2A">
        <w:t>En effet, la dotation ne pourra être reconduite sans avoir à répondre à un nouvel appel à candidatures qu’à la condition d’une évaluation positive et dans le cadre du renouvellement du CPOM.</w:t>
      </w:r>
    </w:p>
    <w:p w14:paraId="1550E63F" w14:textId="562E3E7F" w:rsidR="00B575EB" w:rsidRDefault="00B575EB" w:rsidP="001905CC">
      <w:pPr>
        <w:spacing w:after="0"/>
        <w:jc w:val="both"/>
        <w:rPr>
          <w:color w:val="FF0000"/>
        </w:rPr>
      </w:pPr>
    </w:p>
    <w:p w14:paraId="472077C9" w14:textId="37878900" w:rsidR="00B575EB" w:rsidRDefault="00B575EB" w:rsidP="00F1471C">
      <w:pPr>
        <w:spacing w:after="0"/>
        <w:jc w:val="both"/>
        <w:rPr>
          <w:color w:val="FF0000"/>
        </w:rPr>
      </w:pPr>
    </w:p>
    <w:p w14:paraId="659F8D61" w14:textId="65FADE7E" w:rsidR="006A3704" w:rsidRPr="006A3704" w:rsidRDefault="006A3704" w:rsidP="006A3704">
      <w:pPr>
        <w:spacing w:after="0"/>
        <w:jc w:val="center"/>
        <w:rPr>
          <w:b/>
        </w:rPr>
      </w:pPr>
      <w:r w:rsidRPr="006A3704">
        <w:rPr>
          <w:b/>
        </w:rPr>
        <w:t>***</w:t>
      </w:r>
    </w:p>
    <w:sectPr w:rsidR="006A3704" w:rsidRPr="006A37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4A86" w14:textId="77777777" w:rsidR="00D027D9" w:rsidRDefault="00D027D9" w:rsidP="00347578">
      <w:pPr>
        <w:spacing w:after="0" w:line="240" w:lineRule="auto"/>
      </w:pPr>
      <w:r>
        <w:separator/>
      </w:r>
    </w:p>
  </w:endnote>
  <w:endnote w:type="continuationSeparator" w:id="0">
    <w:p w14:paraId="2DE09184" w14:textId="77777777" w:rsidR="00D027D9" w:rsidRDefault="00D027D9" w:rsidP="0034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19417"/>
      <w:docPartObj>
        <w:docPartGallery w:val="Page Numbers (Bottom of Page)"/>
        <w:docPartUnique/>
      </w:docPartObj>
    </w:sdtPr>
    <w:sdtEndPr/>
    <w:sdtContent>
      <w:p w14:paraId="0751D2BF" w14:textId="0F0D901F" w:rsidR="00D027D9" w:rsidRDefault="00D027D9">
        <w:pPr>
          <w:pStyle w:val="Pieddepage"/>
          <w:jc w:val="right"/>
        </w:pPr>
        <w:r>
          <w:fldChar w:fldCharType="begin"/>
        </w:r>
        <w:r>
          <w:instrText>PAGE   \* MERGEFORMAT</w:instrText>
        </w:r>
        <w:r>
          <w:fldChar w:fldCharType="separate"/>
        </w:r>
        <w:r w:rsidR="00851AE3">
          <w:rPr>
            <w:noProof/>
          </w:rPr>
          <w:t>13</w:t>
        </w:r>
        <w:r>
          <w:fldChar w:fldCharType="end"/>
        </w:r>
      </w:p>
    </w:sdtContent>
  </w:sdt>
  <w:p w14:paraId="7366D2AD" w14:textId="73CC7FDA" w:rsidR="00D027D9" w:rsidRDefault="00D02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80DF" w14:textId="77777777" w:rsidR="00D027D9" w:rsidRDefault="00D027D9" w:rsidP="00347578">
      <w:pPr>
        <w:spacing w:after="0" w:line="240" w:lineRule="auto"/>
      </w:pPr>
      <w:r>
        <w:separator/>
      </w:r>
    </w:p>
  </w:footnote>
  <w:footnote w:type="continuationSeparator" w:id="0">
    <w:p w14:paraId="3A998ACA" w14:textId="77777777" w:rsidR="00D027D9" w:rsidRDefault="00D027D9" w:rsidP="00347578">
      <w:pPr>
        <w:spacing w:after="0" w:line="240" w:lineRule="auto"/>
      </w:pPr>
      <w:r>
        <w:continuationSeparator/>
      </w:r>
    </w:p>
  </w:footnote>
  <w:footnote w:id="1">
    <w:p w14:paraId="1080195E" w14:textId="7A7CF8D3" w:rsidR="00D027D9" w:rsidRDefault="00D027D9" w:rsidP="00851AE3">
      <w:pPr>
        <w:pStyle w:val="Notedebasdepage"/>
        <w:jc w:val="both"/>
      </w:pPr>
      <w:r>
        <w:rPr>
          <w:rStyle w:val="Appelnotedebasdep"/>
        </w:rPr>
        <w:footnoteRef/>
      </w:r>
      <w:r>
        <w:t xml:space="preserve"> </w:t>
      </w:r>
      <w:r w:rsidRPr="00FE5725">
        <w:t xml:space="preserve">  </w:t>
      </w:r>
      <w:r>
        <w:t>Des guides méthodologiques peuvent être utiles, comme celui de l’</w:t>
      </w:r>
      <w:r w:rsidRPr="00FE5725">
        <w:t>ANAP</w:t>
      </w:r>
      <w:r w:rsidRPr="006C59E2">
        <w:rPr>
          <w:i/>
        </w:rPr>
        <w:t xml:space="preserve"> « Négocier et mettre en œuvre les CPOM dans le secteur médico-social - Guide méthodologique d’appui à la contractualisation</w:t>
      </w:r>
      <w:r>
        <w:t xml:space="preserve"> », </w:t>
      </w:r>
      <w:r w:rsidRPr="00FE5725">
        <w:t>2017</w:t>
      </w:r>
      <w:r>
        <w:t xml:space="preserve"> (</w:t>
      </w:r>
      <w:hyperlink r:id="rId1" w:history="1">
        <w:r w:rsidRPr="003470B7">
          <w:rPr>
            <w:rStyle w:val="Lienhypertexte"/>
          </w:rPr>
          <w:t>https://www.anap.fr/ressources/publications/detail/actualites/negocier-et-mettre-en-oeuvre-les-cpom-dans-le-secteur-medico-social-guide-methodologique-dappui-a-la-contractualisation/</w:t>
        </w:r>
      </w:hyperlink>
      <w:r>
        <w:t>) ou encore les f</w:t>
      </w:r>
      <w:r w:rsidRPr="00D027D9">
        <w:t xml:space="preserve">iches repères d’aide </w:t>
      </w:r>
      <w:r>
        <w:t xml:space="preserve">à la contractualisation (ANAP) : </w:t>
      </w:r>
      <w:hyperlink r:id="rId2" w:history="1">
        <w:r w:rsidRPr="003470B7">
          <w:rPr>
            <w:rStyle w:val="Lienhypertexte"/>
          </w:rPr>
          <w:t>https://www.anap.fr/ressources/publications/detail/actualites/negocier-et-mettre-en-oeuvre-les-cpom-dans-le-secteur-medico-social-fiches-reperes-daide-a-la-contractualisation/</w:t>
        </w:r>
      </w:hyperlink>
    </w:p>
  </w:footnote>
  <w:footnote w:id="2">
    <w:p w14:paraId="48544163" w14:textId="18B2F5B9" w:rsidR="00CC0A13" w:rsidRDefault="00CC0A13" w:rsidP="00851AE3">
      <w:pPr>
        <w:pStyle w:val="Notedebasdepage"/>
        <w:jc w:val="both"/>
      </w:pPr>
      <w:r>
        <w:rPr>
          <w:rStyle w:val="Appelnotedebasdep"/>
        </w:rPr>
        <w:footnoteRef/>
      </w:r>
      <w:r>
        <w:t xml:space="preserve"> </w:t>
      </w:r>
      <w:hyperlink r:id="rId3" w:history="1">
        <w:r w:rsidR="00F94223" w:rsidRPr="0032134F">
          <w:rPr>
            <w:rStyle w:val="Lienhypertexte"/>
          </w:rPr>
          <w:t>https://solidarites-sante.gouv.fr/actualites/actualites-du-ministere/article/financement-des-services-a-domicile-de-nouveaux-outils-pour-les-gestionnaires</w:t>
        </w:r>
      </w:hyperlink>
    </w:p>
    <w:p w14:paraId="2397C398" w14:textId="77777777" w:rsidR="00F94223" w:rsidRDefault="00F94223">
      <w:pPr>
        <w:pStyle w:val="Notedebasdepage"/>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09A"/>
    <w:multiLevelType w:val="hybridMultilevel"/>
    <w:tmpl w:val="B12EC6B4"/>
    <w:lvl w:ilvl="0" w:tplc="07466B82">
      <w:start w:val="1"/>
      <w:numFmt w:val="bullet"/>
      <w:pStyle w:val="Listepuce"/>
      <w:lvlText w:val=""/>
      <w:lvlJc w:val="left"/>
      <w:pPr>
        <w:ind w:left="720" w:hanging="360"/>
      </w:pPr>
      <w:rPr>
        <w:rFonts w:ascii="Wingdings" w:hAnsi="Wingdings" w:hint="default"/>
        <w:color w:val="4F81BD" w:themeColor="accent1"/>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86DB3"/>
    <w:multiLevelType w:val="hybridMultilevel"/>
    <w:tmpl w:val="6CC059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A001C"/>
    <w:multiLevelType w:val="hybridMultilevel"/>
    <w:tmpl w:val="70947988"/>
    <w:lvl w:ilvl="0" w:tplc="4CAAA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9014D0"/>
    <w:multiLevelType w:val="hybridMultilevel"/>
    <w:tmpl w:val="F472440E"/>
    <w:lvl w:ilvl="0" w:tplc="216A5D8E">
      <w:start w:val="1"/>
      <w:numFmt w:val="bullet"/>
      <w:pStyle w:val="Conclusion"/>
      <w:lvlText w:val="►"/>
      <w:lvlJc w:val="left"/>
      <w:pPr>
        <w:ind w:left="720" w:hanging="360"/>
      </w:pPr>
      <w:rPr>
        <w:rFonts w:ascii="Century Gothic" w:hAnsi="Century Gothic"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25080"/>
    <w:multiLevelType w:val="hybridMultilevel"/>
    <w:tmpl w:val="F9003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73D4A"/>
    <w:multiLevelType w:val="multilevel"/>
    <w:tmpl w:val="F84AB5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11461E"/>
    <w:multiLevelType w:val="hybridMultilevel"/>
    <w:tmpl w:val="4FC80248"/>
    <w:lvl w:ilvl="0" w:tplc="92B48F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0F11F9"/>
    <w:multiLevelType w:val="hybridMultilevel"/>
    <w:tmpl w:val="869C9E1E"/>
    <w:lvl w:ilvl="0" w:tplc="7CE28346">
      <w:start w:val="20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594C55"/>
    <w:multiLevelType w:val="hybridMultilevel"/>
    <w:tmpl w:val="9C36540A"/>
    <w:lvl w:ilvl="0" w:tplc="9D0C586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AF4900"/>
    <w:multiLevelType w:val="hybridMultilevel"/>
    <w:tmpl w:val="04A0D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DF6033"/>
    <w:multiLevelType w:val="hybridMultilevel"/>
    <w:tmpl w:val="3B5E0C90"/>
    <w:lvl w:ilvl="0" w:tplc="796E0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693E4B"/>
    <w:multiLevelType w:val="hybridMultilevel"/>
    <w:tmpl w:val="F5929B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3D4775E"/>
    <w:multiLevelType w:val="hybridMultilevel"/>
    <w:tmpl w:val="4DA65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502B7E"/>
    <w:multiLevelType w:val="hybridMultilevel"/>
    <w:tmpl w:val="18A4ADD4"/>
    <w:lvl w:ilvl="0" w:tplc="13564DF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341F66"/>
    <w:multiLevelType w:val="hybridMultilevel"/>
    <w:tmpl w:val="EA263318"/>
    <w:lvl w:ilvl="0" w:tplc="AA44A7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F04F4F"/>
    <w:multiLevelType w:val="hybridMultilevel"/>
    <w:tmpl w:val="A7C80E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8E670D6"/>
    <w:multiLevelType w:val="hybridMultilevel"/>
    <w:tmpl w:val="6FEC41FE"/>
    <w:lvl w:ilvl="0" w:tplc="400C7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F90BE2"/>
    <w:multiLevelType w:val="hybridMultilevel"/>
    <w:tmpl w:val="BF56FB34"/>
    <w:lvl w:ilvl="0" w:tplc="83A6EE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112B3A"/>
    <w:multiLevelType w:val="hybridMultilevel"/>
    <w:tmpl w:val="97309E2A"/>
    <w:lvl w:ilvl="0" w:tplc="3CE0C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DA6679"/>
    <w:multiLevelType w:val="hybridMultilevel"/>
    <w:tmpl w:val="82ACA0C6"/>
    <w:lvl w:ilvl="0" w:tplc="796E0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EF4BD4"/>
    <w:multiLevelType w:val="hybridMultilevel"/>
    <w:tmpl w:val="872C2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7A21C9"/>
    <w:multiLevelType w:val="hybridMultilevel"/>
    <w:tmpl w:val="6D7EF2BE"/>
    <w:lvl w:ilvl="0" w:tplc="03483BF4">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081F8D"/>
    <w:multiLevelType w:val="hybridMultilevel"/>
    <w:tmpl w:val="164E3492"/>
    <w:lvl w:ilvl="0" w:tplc="796E0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10"/>
  </w:num>
  <w:num w:numId="5">
    <w:abstractNumId w:val="16"/>
  </w:num>
  <w:num w:numId="6">
    <w:abstractNumId w:val="3"/>
  </w:num>
  <w:num w:numId="7">
    <w:abstractNumId w:val="0"/>
  </w:num>
  <w:num w:numId="8">
    <w:abstractNumId w:val="1"/>
  </w:num>
  <w:num w:numId="9">
    <w:abstractNumId w:val="19"/>
  </w:num>
  <w:num w:numId="10">
    <w:abstractNumId w:val="8"/>
  </w:num>
  <w:num w:numId="11">
    <w:abstractNumId w:val="13"/>
  </w:num>
  <w:num w:numId="12">
    <w:abstractNumId w:val="11"/>
  </w:num>
  <w:num w:numId="13">
    <w:abstractNumId w:val="9"/>
  </w:num>
  <w:num w:numId="14">
    <w:abstractNumId w:val="5"/>
  </w:num>
  <w:num w:numId="15">
    <w:abstractNumId w:val="6"/>
  </w:num>
  <w:num w:numId="16">
    <w:abstractNumId w:val="21"/>
  </w:num>
  <w:num w:numId="17">
    <w:abstractNumId w:val="4"/>
  </w:num>
  <w:num w:numId="18">
    <w:abstractNumId w:val="12"/>
  </w:num>
  <w:num w:numId="19">
    <w:abstractNumId w:val="22"/>
  </w:num>
  <w:num w:numId="20">
    <w:abstractNumId w:val="2"/>
  </w:num>
  <w:num w:numId="21">
    <w:abstractNumId w:val="1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D"/>
    <w:rsid w:val="00022335"/>
    <w:rsid w:val="00061790"/>
    <w:rsid w:val="000729E0"/>
    <w:rsid w:val="00072C5C"/>
    <w:rsid w:val="000758EA"/>
    <w:rsid w:val="00080C58"/>
    <w:rsid w:val="000847E0"/>
    <w:rsid w:val="00087D59"/>
    <w:rsid w:val="00090BB1"/>
    <w:rsid w:val="000965BD"/>
    <w:rsid w:val="000A1D22"/>
    <w:rsid w:val="00100AEE"/>
    <w:rsid w:val="00103150"/>
    <w:rsid w:val="001362C1"/>
    <w:rsid w:val="00142BBF"/>
    <w:rsid w:val="001905CC"/>
    <w:rsid w:val="00196B05"/>
    <w:rsid w:val="001A2D27"/>
    <w:rsid w:val="001A71D2"/>
    <w:rsid w:val="001C1E69"/>
    <w:rsid w:val="001C62DC"/>
    <w:rsid w:val="001D61A3"/>
    <w:rsid w:val="001E1C43"/>
    <w:rsid w:val="001E4296"/>
    <w:rsid w:val="002103FA"/>
    <w:rsid w:val="0021176F"/>
    <w:rsid w:val="00217D5A"/>
    <w:rsid w:val="00222ECD"/>
    <w:rsid w:val="00227248"/>
    <w:rsid w:val="00253A8F"/>
    <w:rsid w:val="00274959"/>
    <w:rsid w:val="0028005F"/>
    <w:rsid w:val="0028515D"/>
    <w:rsid w:val="00285B21"/>
    <w:rsid w:val="002A3ECF"/>
    <w:rsid w:val="00322193"/>
    <w:rsid w:val="00322CC5"/>
    <w:rsid w:val="00325A5F"/>
    <w:rsid w:val="00333B4D"/>
    <w:rsid w:val="00335757"/>
    <w:rsid w:val="00347578"/>
    <w:rsid w:val="00350050"/>
    <w:rsid w:val="003909D7"/>
    <w:rsid w:val="003C1C5A"/>
    <w:rsid w:val="003C77B9"/>
    <w:rsid w:val="003F218E"/>
    <w:rsid w:val="004455A8"/>
    <w:rsid w:val="004668F1"/>
    <w:rsid w:val="00473FF9"/>
    <w:rsid w:val="004A0C59"/>
    <w:rsid w:val="004A5177"/>
    <w:rsid w:val="004B72FF"/>
    <w:rsid w:val="004C4FD3"/>
    <w:rsid w:val="004D0391"/>
    <w:rsid w:val="004D65D4"/>
    <w:rsid w:val="00531EFE"/>
    <w:rsid w:val="00534BA5"/>
    <w:rsid w:val="00546CE5"/>
    <w:rsid w:val="00554446"/>
    <w:rsid w:val="005843D6"/>
    <w:rsid w:val="00590FFC"/>
    <w:rsid w:val="005A2C2A"/>
    <w:rsid w:val="005C079D"/>
    <w:rsid w:val="005D2080"/>
    <w:rsid w:val="005D406D"/>
    <w:rsid w:val="005F7B5D"/>
    <w:rsid w:val="0061649A"/>
    <w:rsid w:val="006236BE"/>
    <w:rsid w:val="00632936"/>
    <w:rsid w:val="0064722D"/>
    <w:rsid w:val="00662E65"/>
    <w:rsid w:val="00670D1B"/>
    <w:rsid w:val="006851E0"/>
    <w:rsid w:val="006860D8"/>
    <w:rsid w:val="006A3704"/>
    <w:rsid w:val="006C59E2"/>
    <w:rsid w:val="006C5BDC"/>
    <w:rsid w:val="006D01B0"/>
    <w:rsid w:val="006E11A3"/>
    <w:rsid w:val="006E7754"/>
    <w:rsid w:val="006F760D"/>
    <w:rsid w:val="00730136"/>
    <w:rsid w:val="007524E4"/>
    <w:rsid w:val="007A4E89"/>
    <w:rsid w:val="007B6121"/>
    <w:rsid w:val="007C5494"/>
    <w:rsid w:val="007D32A8"/>
    <w:rsid w:val="00813A32"/>
    <w:rsid w:val="0082072F"/>
    <w:rsid w:val="00824AA5"/>
    <w:rsid w:val="008355A9"/>
    <w:rsid w:val="00851AE3"/>
    <w:rsid w:val="0087744B"/>
    <w:rsid w:val="00883366"/>
    <w:rsid w:val="00893C30"/>
    <w:rsid w:val="008A351B"/>
    <w:rsid w:val="008B7F5F"/>
    <w:rsid w:val="008C090F"/>
    <w:rsid w:val="008F0D7F"/>
    <w:rsid w:val="00925A0C"/>
    <w:rsid w:val="0096221D"/>
    <w:rsid w:val="00971662"/>
    <w:rsid w:val="00991C23"/>
    <w:rsid w:val="009A6A5C"/>
    <w:rsid w:val="009B1E3B"/>
    <w:rsid w:val="009B688B"/>
    <w:rsid w:val="009C624E"/>
    <w:rsid w:val="009C6874"/>
    <w:rsid w:val="00A05B48"/>
    <w:rsid w:val="00A14DB7"/>
    <w:rsid w:val="00A154D8"/>
    <w:rsid w:val="00A6318D"/>
    <w:rsid w:val="00A6362F"/>
    <w:rsid w:val="00A63EF3"/>
    <w:rsid w:val="00A826AE"/>
    <w:rsid w:val="00A915D9"/>
    <w:rsid w:val="00AC00F0"/>
    <w:rsid w:val="00AD190F"/>
    <w:rsid w:val="00AD23BA"/>
    <w:rsid w:val="00AD4CEA"/>
    <w:rsid w:val="00AE71E2"/>
    <w:rsid w:val="00B27475"/>
    <w:rsid w:val="00B50ADA"/>
    <w:rsid w:val="00B50FD0"/>
    <w:rsid w:val="00B5211C"/>
    <w:rsid w:val="00B524AD"/>
    <w:rsid w:val="00B575EB"/>
    <w:rsid w:val="00B60863"/>
    <w:rsid w:val="00B622EE"/>
    <w:rsid w:val="00B62EE1"/>
    <w:rsid w:val="00BA3ABB"/>
    <w:rsid w:val="00BD24E1"/>
    <w:rsid w:val="00BD3B63"/>
    <w:rsid w:val="00BE5ED5"/>
    <w:rsid w:val="00BE61A4"/>
    <w:rsid w:val="00BE6A3D"/>
    <w:rsid w:val="00C01739"/>
    <w:rsid w:val="00C51CD7"/>
    <w:rsid w:val="00C563CB"/>
    <w:rsid w:val="00C620E1"/>
    <w:rsid w:val="00C94A94"/>
    <w:rsid w:val="00CA08F1"/>
    <w:rsid w:val="00CB3595"/>
    <w:rsid w:val="00CB5237"/>
    <w:rsid w:val="00CC0A13"/>
    <w:rsid w:val="00CC2839"/>
    <w:rsid w:val="00CC2ABF"/>
    <w:rsid w:val="00CC4722"/>
    <w:rsid w:val="00CD7251"/>
    <w:rsid w:val="00CF07B3"/>
    <w:rsid w:val="00CF0A52"/>
    <w:rsid w:val="00CF5D22"/>
    <w:rsid w:val="00D027D9"/>
    <w:rsid w:val="00D14CD3"/>
    <w:rsid w:val="00D35337"/>
    <w:rsid w:val="00D41CFC"/>
    <w:rsid w:val="00D501D6"/>
    <w:rsid w:val="00DC12F9"/>
    <w:rsid w:val="00DD3E28"/>
    <w:rsid w:val="00DE2C9B"/>
    <w:rsid w:val="00DF63AE"/>
    <w:rsid w:val="00E86C0D"/>
    <w:rsid w:val="00E936E9"/>
    <w:rsid w:val="00EC0F74"/>
    <w:rsid w:val="00EE1DE5"/>
    <w:rsid w:val="00F1471C"/>
    <w:rsid w:val="00F265A9"/>
    <w:rsid w:val="00F31F4D"/>
    <w:rsid w:val="00F33A4A"/>
    <w:rsid w:val="00F454D1"/>
    <w:rsid w:val="00F54807"/>
    <w:rsid w:val="00F54ED3"/>
    <w:rsid w:val="00F70517"/>
    <w:rsid w:val="00F77A96"/>
    <w:rsid w:val="00F77DA6"/>
    <w:rsid w:val="00F94223"/>
    <w:rsid w:val="00FC1779"/>
    <w:rsid w:val="00FD3195"/>
    <w:rsid w:val="00FD5CCD"/>
    <w:rsid w:val="00FE5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F4B8"/>
  <w15:chartTrackingRefBased/>
  <w15:docId w15:val="{3224846D-BFFB-4D69-835E-6223E422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C9B"/>
    <w:pPr>
      <w:ind w:left="720"/>
      <w:contextualSpacing/>
    </w:pPr>
  </w:style>
  <w:style w:type="character" w:styleId="Marquedecommentaire">
    <w:name w:val="annotation reference"/>
    <w:basedOn w:val="Policepardfaut"/>
    <w:uiPriority w:val="99"/>
    <w:semiHidden/>
    <w:unhideWhenUsed/>
    <w:rsid w:val="001A71D2"/>
    <w:rPr>
      <w:sz w:val="16"/>
      <w:szCs w:val="16"/>
    </w:rPr>
  </w:style>
  <w:style w:type="paragraph" w:styleId="Commentaire">
    <w:name w:val="annotation text"/>
    <w:basedOn w:val="Normal"/>
    <w:link w:val="CommentaireCar"/>
    <w:uiPriority w:val="99"/>
    <w:semiHidden/>
    <w:unhideWhenUsed/>
    <w:rsid w:val="001A71D2"/>
    <w:pPr>
      <w:spacing w:line="240" w:lineRule="auto"/>
    </w:pPr>
    <w:rPr>
      <w:sz w:val="20"/>
      <w:szCs w:val="20"/>
    </w:rPr>
  </w:style>
  <w:style w:type="character" w:customStyle="1" w:styleId="CommentaireCar">
    <w:name w:val="Commentaire Car"/>
    <w:basedOn w:val="Policepardfaut"/>
    <w:link w:val="Commentaire"/>
    <w:uiPriority w:val="99"/>
    <w:semiHidden/>
    <w:rsid w:val="001A71D2"/>
    <w:rPr>
      <w:sz w:val="20"/>
      <w:szCs w:val="20"/>
    </w:rPr>
  </w:style>
  <w:style w:type="paragraph" w:styleId="Objetducommentaire">
    <w:name w:val="annotation subject"/>
    <w:basedOn w:val="Commentaire"/>
    <w:next w:val="Commentaire"/>
    <w:link w:val="ObjetducommentaireCar"/>
    <w:uiPriority w:val="99"/>
    <w:semiHidden/>
    <w:unhideWhenUsed/>
    <w:rsid w:val="001A71D2"/>
    <w:rPr>
      <w:b/>
      <w:bCs/>
    </w:rPr>
  </w:style>
  <w:style w:type="character" w:customStyle="1" w:styleId="ObjetducommentaireCar">
    <w:name w:val="Objet du commentaire Car"/>
    <w:basedOn w:val="CommentaireCar"/>
    <w:link w:val="Objetducommentaire"/>
    <w:uiPriority w:val="99"/>
    <w:semiHidden/>
    <w:rsid w:val="001A71D2"/>
    <w:rPr>
      <w:b/>
      <w:bCs/>
      <w:sz w:val="20"/>
      <w:szCs w:val="20"/>
    </w:rPr>
  </w:style>
  <w:style w:type="paragraph" w:styleId="Textedebulles">
    <w:name w:val="Balloon Text"/>
    <w:basedOn w:val="Normal"/>
    <w:link w:val="TextedebullesCar"/>
    <w:uiPriority w:val="99"/>
    <w:semiHidden/>
    <w:unhideWhenUsed/>
    <w:rsid w:val="001A7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1D2"/>
    <w:rPr>
      <w:rFonts w:ascii="Segoe UI" w:hAnsi="Segoe UI" w:cs="Segoe UI"/>
      <w:sz w:val="18"/>
      <w:szCs w:val="18"/>
    </w:rPr>
  </w:style>
  <w:style w:type="paragraph" w:styleId="Notedebasdepage">
    <w:name w:val="footnote text"/>
    <w:basedOn w:val="Normal"/>
    <w:link w:val="NotedebasdepageCar"/>
    <w:uiPriority w:val="99"/>
    <w:semiHidden/>
    <w:unhideWhenUsed/>
    <w:rsid w:val="003475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7578"/>
    <w:rPr>
      <w:sz w:val="20"/>
      <w:szCs w:val="20"/>
    </w:rPr>
  </w:style>
  <w:style w:type="character" w:styleId="Appelnotedebasdep">
    <w:name w:val="footnote reference"/>
    <w:basedOn w:val="Policepardfaut"/>
    <w:uiPriority w:val="99"/>
    <w:semiHidden/>
    <w:unhideWhenUsed/>
    <w:rsid w:val="00347578"/>
    <w:rPr>
      <w:vertAlign w:val="superscript"/>
    </w:rPr>
  </w:style>
  <w:style w:type="paragraph" w:customStyle="1" w:styleId="Listepuce">
    <w:name w:val="Liste à puce"/>
    <w:basedOn w:val="Paragraphedeliste"/>
    <w:uiPriority w:val="5"/>
    <w:qFormat/>
    <w:rsid w:val="00347578"/>
    <w:pPr>
      <w:numPr>
        <w:numId w:val="7"/>
      </w:numPr>
      <w:tabs>
        <w:tab w:val="num" w:pos="360"/>
      </w:tabs>
      <w:spacing w:before="120" w:after="120"/>
      <w:ind w:firstLine="0"/>
      <w:jc w:val="both"/>
    </w:pPr>
    <w:rPr>
      <w:rFonts w:ascii="Century Gothic" w:hAnsi="Century Gothic"/>
      <w:sz w:val="20"/>
      <w:szCs w:val="20"/>
    </w:rPr>
  </w:style>
  <w:style w:type="paragraph" w:customStyle="1" w:styleId="Conclusion">
    <w:name w:val="Conclusion"/>
    <w:basedOn w:val="Normal"/>
    <w:uiPriority w:val="5"/>
    <w:qFormat/>
    <w:rsid w:val="00347578"/>
    <w:pPr>
      <w:numPr>
        <w:numId w:val="6"/>
      </w:numPr>
      <w:spacing w:before="240" w:after="120"/>
    </w:pPr>
    <w:rPr>
      <w:rFonts w:ascii="Century Gothic" w:hAnsi="Century Gothic"/>
      <w:b/>
      <w:sz w:val="20"/>
      <w:szCs w:val="20"/>
    </w:rPr>
  </w:style>
  <w:style w:type="table" w:styleId="Grilledutableau">
    <w:name w:val="Table Grid"/>
    <w:basedOn w:val="TableauNormal"/>
    <w:uiPriority w:val="59"/>
    <w:rsid w:val="003C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7B9"/>
    <w:pPr>
      <w:autoSpaceDE w:val="0"/>
      <w:autoSpaceDN w:val="0"/>
      <w:adjustRightInd w:val="0"/>
      <w:spacing w:after="0" w:line="240" w:lineRule="auto"/>
    </w:pPr>
    <w:rPr>
      <w:rFonts w:ascii="Wingdings" w:hAnsi="Wingdings" w:cs="Wingdings"/>
      <w:color w:val="000000"/>
      <w:sz w:val="24"/>
      <w:szCs w:val="24"/>
    </w:rPr>
  </w:style>
  <w:style w:type="paragraph" w:styleId="En-tte">
    <w:name w:val="header"/>
    <w:basedOn w:val="Normal"/>
    <w:link w:val="En-tteCar"/>
    <w:uiPriority w:val="99"/>
    <w:unhideWhenUsed/>
    <w:rsid w:val="006860D8"/>
    <w:pPr>
      <w:tabs>
        <w:tab w:val="center" w:pos="4536"/>
        <w:tab w:val="right" w:pos="9072"/>
      </w:tabs>
      <w:spacing w:after="0" w:line="240" w:lineRule="auto"/>
    </w:pPr>
  </w:style>
  <w:style w:type="character" w:customStyle="1" w:styleId="En-tteCar">
    <w:name w:val="En-tête Car"/>
    <w:basedOn w:val="Policepardfaut"/>
    <w:link w:val="En-tte"/>
    <w:uiPriority w:val="99"/>
    <w:rsid w:val="006860D8"/>
  </w:style>
  <w:style w:type="paragraph" w:styleId="Pieddepage">
    <w:name w:val="footer"/>
    <w:basedOn w:val="Normal"/>
    <w:link w:val="PieddepageCar"/>
    <w:uiPriority w:val="99"/>
    <w:unhideWhenUsed/>
    <w:rsid w:val="00686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0D8"/>
  </w:style>
  <w:style w:type="character" w:styleId="Lienhypertexte">
    <w:name w:val="Hyperlink"/>
    <w:basedOn w:val="Policepardfaut"/>
    <w:uiPriority w:val="99"/>
    <w:unhideWhenUsed/>
    <w:rsid w:val="00061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olidarites-sante.gouv.fr/actualites/actualites-du-ministere/article/financement-des-services-a-domicile-de-nouveaux-outils-pour-les-gestionnaires" TargetMode="External"/><Relationship Id="rId2" Type="http://schemas.openxmlformats.org/officeDocument/2006/relationships/hyperlink" Target="https://www.anap.fr/ressources/publications/detail/actualites/negocier-et-mettre-en-oeuvre-les-cpom-dans-le-secteur-medico-social-fiches-reperes-daide-a-la-contractualisation/" TargetMode="External"/><Relationship Id="rId1" Type="http://schemas.openxmlformats.org/officeDocument/2006/relationships/hyperlink" Target="https://www.anap.fr/ressources/publications/detail/actualites/negocier-et-mettre-en-oeuvre-les-cpom-dans-le-secteur-medico-social-guide-methodologique-dappui-a-la-contractualis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71EA-899E-4252-B108-2DF14DB4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4992</Words>
  <Characters>27457</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Mathilde (DGCS/SERVICE DES POLITIQUES SOCIALES ET MEDICO SOCIALES/3EME SOU)</dc:creator>
  <cp:keywords/>
  <dc:description/>
  <cp:lastModifiedBy>MOULIN, Mathilde (DGCS/SERVICE DES POLITIQUES SOCIALES ET MEDICO SOCIALES/3EME SOU)</cp:lastModifiedBy>
  <cp:revision>8</cp:revision>
  <dcterms:created xsi:type="dcterms:W3CDTF">2022-05-26T11:56:00Z</dcterms:created>
  <dcterms:modified xsi:type="dcterms:W3CDTF">2022-06-03T15:38:00Z</dcterms:modified>
</cp:coreProperties>
</file>