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34DD" w14:textId="77777777" w:rsidR="0071424A" w:rsidRPr="008F5C90" w:rsidRDefault="00A260E0" w:rsidP="0071424A">
      <w:pPr>
        <w:pBdr>
          <w:bottom w:val="single" w:sz="4" w:space="1" w:color="auto"/>
        </w:pBdr>
        <w:jc w:val="center"/>
        <w:rPr>
          <w:b/>
        </w:rPr>
      </w:pPr>
      <w:bookmarkStart w:id="0" w:name="_GoBack"/>
      <w:bookmarkEnd w:id="0"/>
      <w:r>
        <w:rPr>
          <w:b/>
        </w:rPr>
        <w:t>Actions réalisées pour renforcer les compétences managériales</w:t>
      </w:r>
      <w:r w:rsidR="00FF5F38">
        <w:rPr>
          <w:b/>
        </w:rPr>
        <w:t>, développer des communautés</w:t>
      </w:r>
      <w:r w:rsidR="0059626C">
        <w:rPr>
          <w:b/>
        </w:rPr>
        <w:t xml:space="preserve"> apprenantes</w:t>
      </w:r>
      <w:r w:rsidR="00FF5F38">
        <w:rPr>
          <w:b/>
        </w:rPr>
        <w:t xml:space="preserve"> qui favorisent les échanges de pratiques entre managers</w:t>
      </w:r>
    </w:p>
    <w:p w14:paraId="7FD00A93"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Thème</w:t>
      </w:r>
      <w:r w:rsidRPr="008F5C90">
        <w:rPr>
          <w:szCs w:val="24"/>
        </w:rPr>
        <w:t> :</w:t>
      </w:r>
      <w:r w:rsidR="00A61D1C">
        <w:rPr>
          <w:szCs w:val="24"/>
        </w:rPr>
        <w:t xml:space="preserve"> Montée en compétence « prévention des risques professionnels » pour le secteur de l’aide et soin à domicile</w:t>
      </w:r>
    </w:p>
    <w:p w14:paraId="6B32B930"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Titre</w:t>
      </w:r>
      <w:r w:rsidRPr="008F5C90">
        <w:rPr>
          <w:szCs w:val="24"/>
        </w:rPr>
        <w:t> :</w:t>
      </w:r>
      <w:r w:rsidR="00A61D1C">
        <w:rPr>
          <w:szCs w:val="24"/>
        </w:rPr>
        <w:t xml:space="preserve"> Dispositif  ASD</w:t>
      </w:r>
    </w:p>
    <w:p w14:paraId="13F75629"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Territoire</w:t>
      </w:r>
      <w:r w:rsidRPr="008F5C90">
        <w:rPr>
          <w:szCs w:val="24"/>
        </w:rPr>
        <w:t> :</w:t>
      </w:r>
      <w:r w:rsidR="00A61D1C">
        <w:rPr>
          <w:szCs w:val="24"/>
        </w:rPr>
        <w:t xml:space="preserve"> France entière</w:t>
      </w:r>
    </w:p>
    <w:p w14:paraId="12B10FC8"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Secteur (Sanitaire/médico-social/domicile)</w:t>
      </w:r>
      <w:r w:rsidRPr="008F5C90">
        <w:rPr>
          <w:szCs w:val="24"/>
        </w:rPr>
        <w:t> :</w:t>
      </w:r>
      <w:r w:rsidR="008C0E62">
        <w:rPr>
          <w:szCs w:val="24"/>
        </w:rPr>
        <w:t xml:space="preserve"> aide et soin à domicile</w:t>
      </w:r>
    </w:p>
    <w:p w14:paraId="2DB71791"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Etablissement ou structure</w:t>
      </w:r>
      <w:r w:rsidR="00FF5F38">
        <w:rPr>
          <w:b/>
          <w:szCs w:val="24"/>
        </w:rPr>
        <w:t xml:space="preserve"> ou fédération</w:t>
      </w:r>
      <w:r w:rsidRPr="008F5C90">
        <w:rPr>
          <w:szCs w:val="24"/>
        </w:rPr>
        <w:t> :</w:t>
      </w:r>
      <w:r w:rsidR="00A61D1C">
        <w:rPr>
          <w:szCs w:val="24"/>
        </w:rPr>
        <w:t xml:space="preserve"> CNAM/INRS/CARSAT</w:t>
      </w:r>
    </w:p>
    <w:p w14:paraId="640FDA15" w14:textId="77777777" w:rsidR="0071424A" w:rsidRPr="008F5C90" w:rsidRDefault="0071424A" w:rsidP="0071424A">
      <w:pPr>
        <w:jc w:val="both"/>
        <w:rPr>
          <w:szCs w:val="24"/>
        </w:rPr>
      </w:pPr>
    </w:p>
    <w:p w14:paraId="4F2E519D" w14:textId="77777777" w:rsidR="0071424A" w:rsidRDefault="0071424A" w:rsidP="0071424A">
      <w:pPr>
        <w:pBdr>
          <w:top w:val="single" w:sz="4" w:space="0" w:color="auto"/>
          <w:left w:val="single" w:sz="4" w:space="4" w:color="auto"/>
          <w:bottom w:val="single" w:sz="4" w:space="1" w:color="auto"/>
          <w:right w:val="single" w:sz="4" w:space="4" w:color="auto"/>
        </w:pBdr>
        <w:jc w:val="both"/>
        <w:rPr>
          <w:i/>
          <w:szCs w:val="24"/>
        </w:rPr>
      </w:pPr>
      <w:r w:rsidRPr="008F5C90">
        <w:rPr>
          <w:b/>
          <w:bCs/>
          <w:szCs w:val="24"/>
        </w:rPr>
        <w:t xml:space="preserve">1° Description synthétique de l’action </w:t>
      </w:r>
      <w:r w:rsidRPr="008F5C90">
        <w:rPr>
          <w:bCs/>
          <w:i/>
          <w:szCs w:val="24"/>
        </w:rPr>
        <w:t>(</w:t>
      </w:r>
      <w:r w:rsidRPr="008F5C90">
        <w:rPr>
          <w:i/>
          <w:szCs w:val="24"/>
        </w:rPr>
        <w:t>origine de la démarche, objectifs, contributeurs, ressources utilisées)</w:t>
      </w:r>
    </w:p>
    <w:p w14:paraId="3EFDC2C9" w14:textId="77777777" w:rsidR="00A61D1C" w:rsidRDefault="00A61D1C" w:rsidP="0071424A">
      <w:pPr>
        <w:pBdr>
          <w:top w:val="single" w:sz="4" w:space="0" w:color="auto"/>
          <w:left w:val="single" w:sz="4" w:space="4" w:color="auto"/>
          <w:bottom w:val="single" w:sz="4" w:space="1" w:color="auto"/>
          <w:right w:val="single" w:sz="4" w:space="4" w:color="auto"/>
        </w:pBdr>
        <w:jc w:val="both"/>
        <w:rPr>
          <w:i/>
          <w:szCs w:val="24"/>
        </w:rPr>
      </w:pPr>
      <w:r>
        <w:rPr>
          <w:noProof/>
          <w:lang w:eastAsia="fr-FR"/>
        </w:rPr>
        <w:drawing>
          <wp:inline distT="0" distB="0" distL="0" distR="0" wp14:anchorId="7B162948" wp14:editId="1C3AB2BC">
            <wp:extent cx="5760720" cy="7704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770464"/>
                    </a:xfrm>
                    <a:prstGeom prst="rect">
                      <a:avLst/>
                    </a:prstGeom>
                  </pic:spPr>
                </pic:pic>
              </a:graphicData>
            </a:graphic>
          </wp:inline>
        </w:drawing>
      </w:r>
    </w:p>
    <w:p w14:paraId="28266F30" w14:textId="77777777" w:rsidR="00A61D1C" w:rsidRPr="008F5C90" w:rsidRDefault="00A61D1C" w:rsidP="0071424A">
      <w:pPr>
        <w:pBdr>
          <w:top w:val="single" w:sz="4" w:space="0" w:color="auto"/>
          <w:left w:val="single" w:sz="4" w:space="4" w:color="auto"/>
          <w:bottom w:val="single" w:sz="4" w:space="1" w:color="auto"/>
          <w:right w:val="single" w:sz="4" w:space="4" w:color="auto"/>
        </w:pBdr>
        <w:jc w:val="both"/>
        <w:rPr>
          <w:szCs w:val="24"/>
        </w:rPr>
      </w:pPr>
      <w:r>
        <w:rPr>
          <w:szCs w:val="24"/>
        </w:rPr>
        <w:t xml:space="preserve">Le </w:t>
      </w:r>
      <w:r w:rsidR="00255A0F">
        <w:rPr>
          <w:szCs w:val="24"/>
        </w:rPr>
        <w:t>dispositif</w:t>
      </w:r>
      <w:r>
        <w:rPr>
          <w:szCs w:val="24"/>
        </w:rPr>
        <w:t xml:space="preserve"> prévoit des formations certifiantes de l’encadrement jusqu’aux intervenants à domicile. Ces formations permettent de mettre en place une démarche de prévention des risques professionnels </w:t>
      </w:r>
      <w:r w:rsidR="00255A0F">
        <w:rPr>
          <w:szCs w:val="24"/>
        </w:rPr>
        <w:t>répondant aux enjeux du secteur</w:t>
      </w:r>
    </w:p>
    <w:p w14:paraId="658459EE" w14:textId="77777777" w:rsidR="0071424A" w:rsidRPr="008F5C90" w:rsidRDefault="0071424A" w:rsidP="0071424A">
      <w:pPr>
        <w:pBdr>
          <w:top w:val="single" w:sz="4" w:space="0" w:color="auto"/>
          <w:left w:val="single" w:sz="4" w:space="4" w:color="auto"/>
          <w:bottom w:val="single" w:sz="4" w:space="1" w:color="auto"/>
          <w:right w:val="single" w:sz="4" w:space="4" w:color="auto"/>
        </w:pBdr>
        <w:rPr>
          <w:szCs w:val="24"/>
        </w:rPr>
      </w:pPr>
    </w:p>
    <w:p w14:paraId="217AE2F8" w14:textId="77777777" w:rsidR="0071424A" w:rsidRPr="008F5C90" w:rsidRDefault="0071424A" w:rsidP="0071424A">
      <w:pPr>
        <w:rPr>
          <w:szCs w:val="24"/>
        </w:rPr>
      </w:pPr>
    </w:p>
    <w:p w14:paraId="0261FFF7"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2° Méthode utilisée</w:t>
      </w:r>
    </w:p>
    <w:p w14:paraId="04A55F3B" w14:textId="77777777" w:rsidR="0071424A"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Méthodologie :</w:t>
      </w:r>
    </w:p>
    <w:p w14:paraId="57430C43" w14:textId="77777777" w:rsidR="00255A0F" w:rsidRPr="00255A0F" w:rsidRDefault="00255A0F" w:rsidP="0071424A">
      <w:pPr>
        <w:pBdr>
          <w:top w:val="single" w:sz="4" w:space="1" w:color="auto"/>
          <w:left w:val="single" w:sz="4" w:space="4" w:color="auto"/>
          <w:bottom w:val="single" w:sz="4" w:space="1" w:color="auto"/>
          <w:right w:val="single" w:sz="4" w:space="4" w:color="auto"/>
        </w:pBdr>
        <w:rPr>
          <w:szCs w:val="24"/>
        </w:rPr>
      </w:pPr>
      <w:r w:rsidRPr="00255A0F">
        <w:rPr>
          <w:szCs w:val="24"/>
        </w:rPr>
        <w:t>Formation-action de 3 types d’acteurs clefs dans la démarche de prévention des risques professionnels comprenant notamment le dirigeant et l’encadrement de proximité :</w:t>
      </w:r>
    </w:p>
    <w:p w14:paraId="423A4F28" w14:textId="77777777" w:rsidR="0071424A" w:rsidRPr="008F5C90" w:rsidRDefault="00332F4B"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12E78847" wp14:editId="5763C530">
            <wp:extent cx="5760720" cy="239529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395298"/>
                    </a:xfrm>
                    <a:prstGeom prst="rect">
                      <a:avLst/>
                    </a:prstGeom>
                  </pic:spPr>
                </pic:pic>
              </a:graphicData>
            </a:graphic>
          </wp:inline>
        </w:drawing>
      </w:r>
    </w:p>
    <w:p w14:paraId="51FB8081" w14:textId="77777777" w:rsidR="00255A0F" w:rsidRDefault="00255A0F" w:rsidP="0071424A">
      <w:pPr>
        <w:pBdr>
          <w:top w:val="single" w:sz="4" w:space="1" w:color="auto"/>
          <w:left w:val="single" w:sz="4" w:space="4" w:color="auto"/>
          <w:bottom w:val="single" w:sz="4" w:space="1" w:color="auto"/>
          <w:right w:val="single" w:sz="4" w:space="4" w:color="auto"/>
        </w:pBdr>
        <w:rPr>
          <w:b/>
          <w:szCs w:val="24"/>
        </w:rPr>
      </w:pPr>
    </w:p>
    <w:p w14:paraId="387DBFF0"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lastRenderedPageBreak/>
        <w:t>Outils :</w:t>
      </w:r>
    </w:p>
    <w:p w14:paraId="4B392351" w14:textId="77777777" w:rsidR="0071424A" w:rsidRDefault="00332F4B" w:rsidP="0071424A">
      <w:pPr>
        <w:pBdr>
          <w:top w:val="single" w:sz="4" w:space="1" w:color="auto"/>
          <w:left w:val="single" w:sz="4" w:space="4" w:color="auto"/>
          <w:bottom w:val="single" w:sz="4" w:space="1" w:color="auto"/>
          <w:right w:val="single" w:sz="4" w:space="4" w:color="auto"/>
        </w:pBdr>
        <w:rPr>
          <w:b/>
          <w:szCs w:val="24"/>
        </w:rPr>
      </w:pPr>
      <w:r>
        <w:rPr>
          <w:b/>
          <w:szCs w:val="24"/>
        </w:rPr>
        <w:t>L’ingénierie de formation se compose de 4 parties :</w:t>
      </w:r>
    </w:p>
    <w:p w14:paraId="6A0CBF0D" w14:textId="77777777" w:rsidR="00332F4B" w:rsidRPr="008F5C90" w:rsidRDefault="00332F4B"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2990A186" wp14:editId="2C91586A">
            <wp:extent cx="5760720" cy="19708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970869"/>
                    </a:xfrm>
                    <a:prstGeom prst="rect">
                      <a:avLst/>
                    </a:prstGeom>
                  </pic:spPr>
                </pic:pic>
              </a:graphicData>
            </a:graphic>
          </wp:inline>
        </w:drawing>
      </w:r>
    </w:p>
    <w:p w14:paraId="060A53C2"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Evaluation / indicateurs :</w:t>
      </w:r>
    </w:p>
    <w:p w14:paraId="553BDA85" w14:textId="77777777" w:rsidR="0071424A" w:rsidRPr="008F5C90" w:rsidRDefault="00A61D1C" w:rsidP="00A260E0">
      <w:pPr>
        <w:pBdr>
          <w:top w:val="single" w:sz="4" w:space="1" w:color="auto"/>
          <w:left w:val="single" w:sz="4" w:space="4" w:color="auto"/>
          <w:bottom w:val="single" w:sz="4" w:space="1" w:color="auto"/>
          <w:right w:val="single" w:sz="4" w:space="4" w:color="auto"/>
        </w:pBdr>
        <w:jc w:val="center"/>
        <w:rPr>
          <w:szCs w:val="24"/>
        </w:rPr>
      </w:pPr>
      <w:r>
        <w:rPr>
          <w:noProof/>
          <w:lang w:eastAsia="fr-FR"/>
        </w:rPr>
        <w:drawing>
          <wp:inline distT="0" distB="0" distL="0" distR="0" wp14:anchorId="5EF99FF7" wp14:editId="297AAF2F">
            <wp:extent cx="5760720" cy="42259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22592"/>
                    </a:xfrm>
                    <a:prstGeom prst="rect">
                      <a:avLst/>
                    </a:prstGeom>
                  </pic:spPr>
                </pic:pic>
              </a:graphicData>
            </a:graphic>
          </wp:inline>
        </w:drawing>
      </w:r>
    </w:p>
    <w:p w14:paraId="743AFE20"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1633FB5A"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Apports / acteurs :</w:t>
      </w:r>
    </w:p>
    <w:p w14:paraId="633E6A8F" w14:textId="77777777" w:rsidR="0071424A" w:rsidRPr="00A61D1C" w:rsidRDefault="00A61D1C" w:rsidP="0071424A">
      <w:pPr>
        <w:pBdr>
          <w:top w:val="single" w:sz="4" w:space="1" w:color="auto"/>
          <w:left w:val="single" w:sz="4" w:space="4" w:color="auto"/>
          <w:bottom w:val="single" w:sz="4" w:space="1" w:color="auto"/>
          <w:right w:val="single" w:sz="4" w:space="4" w:color="auto"/>
        </w:pBdr>
        <w:rPr>
          <w:szCs w:val="24"/>
          <w:u w:val="single"/>
        </w:rPr>
      </w:pPr>
      <w:r w:rsidRPr="00A61D1C">
        <w:rPr>
          <w:szCs w:val="24"/>
          <w:u w:val="single"/>
        </w:rPr>
        <w:t>Branche Risques pros (Assurance maladie + Inrs)</w:t>
      </w:r>
    </w:p>
    <w:p w14:paraId="6C8AD8FF"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629F597E" wp14:editId="16391230">
            <wp:extent cx="5010150" cy="10940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2844" cy="1094661"/>
                    </a:xfrm>
                    <a:prstGeom prst="rect">
                      <a:avLst/>
                    </a:prstGeom>
                  </pic:spPr>
                </pic:pic>
              </a:graphicData>
            </a:graphic>
          </wp:inline>
        </w:drawing>
      </w:r>
    </w:p>
    <w:p w14:paraId="25B3A1CE" w14:textId="77777777" w:rsidR="00A61D1C" w:rsidRPr="00A61D1C" w:rsidRDefault="00A61D1C" w:rsidP="0071424A">
      <w:pPr>
        <w:pBdr>
          <w:top w:val="single" w:sz="4" w:space="1" w:color="auto"/>
          <w:left w:val="single" w:sz="4" w:space="4" w:color="auto"/>
          <w:bottom w:val="single" w:sz="4" w:space="1" w:color="auto"/>
          <w:right w:val="single" w:sz="4" w:space="4" w:color="auto"/>
        </w:pBdr>
        <w:rPr>
          <w:szCs w:val="24"/>
          <w:u w:val="single"/>
        </w:rPr>
      </w:pPr>
      <w:r w:rsidRPr="00A61D1C">
        <w:rPr>
          <w:szCs w:val="24"/>
          <w:u w:val="single"/>
        </w:rPr>
        <w:t>Commission nationale d’Habilitation</w:t>
      </w:r>
    </w:p>
    <w:p w14:paraId="7753165A"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267B85FE" wp14:editId="6BD030D8">
            <wp:extent cx="5419725" cy="133390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17933" cy="1333460"/>
                    </a:xfrm>
                    <a:prstGeom prst="rect">
                      <a:avLst/>
                    </a:prstGeom>
                  </pic:spPr>
                </pic:pic>
              </a:graphicData>
            </a:graphic>
          </wp:inline>
        </w:drawing>
      </w:r>
    </w:p>
    <w:p w14:paraId="498D7594"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52E48468"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23B87B3A"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775C13B1"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226C7346"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358F1594"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4D3B9DBD"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p>
    <w:p w14:paraId="031F46BD" w14:textId="77777777" w:rsidR="00A61D1C" w:rsidRPr="00A61D1C" w:rsidRDefault="00A61D1C" w:rsidP="0071424A">
      <w:pPr>
        <w:pBdr>
          <w:top w:val="single" w:sz="4" w:space="1" w:color="auto"/>
          <w:left w:val="single" w:sz="4" w:space="4" w:color="auto"/>
          <w:bottom w:val="single" w:sz="4" w:space="1" w:color="auto"/>
          <w:right w:val="single" w:sz="4" w:space="4" w:color="auto"/>
        </w:pBdr>
        <w:rPr>
          <w:szCs w:val="24"/>
          <w:u w:val="single"/>
        </w:rPr>
      </w:pPr>
      <w:r w:rsidRPr="00A61D1C">
        <w:rPr>
          <w:szCs w:val="24"/>
          <w:u w:val="single"/>
        </w:rPr>
        <w:t>Carsat/Cram/CGSS</w:t>
      </w:r>
    </w:p>
    <w:p w14:paraId="61E9636D"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2CEECAED" wp14:editId="5FEBB4B2">
            <wp:extent cx="5760720" cy="2222587"/>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222587"/>
                    </a:xfrm>
                    <a:prstGeom prst="rect">
                      <a:avLst/>
                    </a:prstGeom>
                  </pic:spPr>
                </pic:pic>
              </a:graphicData>
            </a:graphic>
          </wp:inline>
        </w:drawing>
      </w:r>
    </w:p>
    <w:p w14:paraId="5198313A" w14:textId="77777777" w:rsidR="00A61D1C" w:rsidRPr="00A61D1C" w:rsidRDefault="00A61D1C" w:rsidP="0071424A">
      <w:pPr>
        <w:pBdr>
          <w:top w:val="single" w:sz="4" w:space="1" w:color="auto"/>
          <w:left w:val="single" w:sz="4" w:space="4" w:color="auto"/>
          <w:bottom w:val="single" w:sz="4" w:space="1" w:color="auto"/>
          <w:right w:val="single" w:sz="4" w:space="4" w:color="auto"/>
        </w:pBdr>
        <w:rPr>
          <w:szCs w:val="24"/>
          <w:u w:val="single"/>
        </w:rPr>
      </w:pPr>
      <w:r w:rsidRPr="00A61D1C">
        <w:rPr>
          <w:szCs w:val="24"/>
          <w:u w:val="single"/>
        </w:rPr>
        <w:t>Département formation de l’INRS</w:t>
      </w:r>
    </w:p>
    <w:p w14:paraId="56A56CBD"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707FFF41" wp14:editId="797064B5">
            <wp:extent cx="5760720" cy="192554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925548"/>
                    </a:xfrm>
                    <a:prstGeom prst="rect">
                      <a:avLst/>
                    </a:prstGeom>
                  </pic:spPr>
                </pic:pic>
              </a:graphicData>
            </a:graphic>
          </wp:inline>
        </w:drawing>
      </w:r>
    </w:p>
    <w:p w14:paraId="2349735E" w14:textId="77777777" w:rsidR="00A61D1C" w:rsidRPr="00A61D1C" w:rsidRDefault="00A61D1C" w:rsidP="0071424A">
      <w:pPr>
        <w:pBdr>
          <w:top w:val="single" w:sz="4" w:space="1" w:color="auto"/>
          <w:left w:val="single" w:sz="4" w:space="4" w:color="auto"/>
          <w:bottom w:val="single" w:sz="4" w:space="1" w:color="auto"/>
          <w:right w:val="single" w:sz="4" w:space="4" w:color="auto"/>
        </w:pBdr>
        <w:rPr>
          <w:szCs w:val="24"/>
          <w:u w:val="single"/>
        </w:rPr>
      </w:pPr>
      <w:r w:rsidRPr="00A61D1C">
        <w:rPr>
          <w:szCs w:val="24"/>
          <w:u w:val="single"/>
        </w:rPr>
        <w:t>Les entités habilitées</w:t>
      </w:r>
    </w:p>
    <w:p w14:paraId="53DB956B" w14:textId="77777777" w:rsidR="00A61D1C" w:rsidRDefault="00A61D1C" w:rsidP="0071424A">
      <w:pPr>
        <w:pBdr>
          <w:top w:val="single" w:sz="4" w:space="1" w:color="auto"/>
          <w:left w:val="single" w:sz="4" w:space="4" w:color="auto"/>
          <w:bottom w:val="single" w:sz="4" w:space="1" w:color="auto"/>
          <w:right w:val="single" w:sz="4" w:space="4" w:color="auto"/>
        </w:pBdr>
        <w:rPr>
          <w:b/>
          <w:szCs w:val="24"/>
        </w:rPr>
      </w:pPr>
      <w:r>
        <w:rPr>
          <w:noProof/>
          <w:lang w:eastAsia="fr-FR"/>
        </w:rPr>
        <w:drawing>
          <wp:inline distT="0" distB="0" distL="0" distR="0" wp14:anchorId="67D47CF2" wp14:editId="5DCA403B">
            <wp:extent cx="5760720" cy="1382916"/>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382916"/>
                    </a:xfrm>
                    <a:prstGeom prst="rect">
                      <a:avLst/>
                    </a:prstGeom>
                  </pic:spPr>
                </pic:pic>
              </a:graphicData>
            </a:graphic>
          </wp:inline>
        </w:drawing>
      </w:r>
    </w:p>
    <w:p w14:paraId="2A001386" w14:textId="77777777" w:rsidR="00A61D1C" w:rsidRPr="008F5C90" w:rsidRDefault="00A61D1C" w:rsidP="0071424A">
      <w:pPr>
        <w:pBdr>
          <w:top w:val="single" w:sz="4" w:space="1" w:color="auto"/>
          <w:left w:val="single" w:sz="4" w:space="4" w:color="auto"/>
          <w:bottom w:val="single" w:sz="4" w:space="1" w:color="auto"/>
          <w:right w:val="single" w:sz="4" w:space="4" w:color="auto"/>
        </w:pBdr>
        <w:rPr>
          <w:b/>
          <w:szCs w:val="24"/>
        </w:rPr>
      </w:pPr>
    </w:p>
    <w:p w14:paraId="5FF9B380" w14:textId="77777777" w:rsidR="0071424A"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Quelle mise à disposition ou diffusion ?</w:t>
      </w:r>
    </w:p>
    <w:p w14:paraId="09681BB5" w14:textId="77777777" w:rsidR="00332F4B" w:rsidRDefault="00332F4B" w:rsidP="0071424A">
      <w:pPr>
        <w:pBdr>
          <w:top w:val="single" w:sz="4" w:space="1" w:color="auto"/>
          <w:left w:val="single" w:sz="4" w:space="4" w:color="auto"/>
          <w:bottom w:val="single" w:sz="4" w:space="1" w:color="auto"/>
          <w:right w:val="single" w:sz="4" w:space="4" w:color="auto"/>
        </w:pBdr>
        <w:rPr>
          <w:b/>
          <w:szCs w:val="24"/>
        </w:rPr>
      </w:pPr>
      <w:r w:rsidRPr="00332F4B">
        <w:rPr>
          <w:szCs w:val="24"/>
        </w:rPr>
        <w:t>Liste des centres de formations habilités et document de référence sur le dispositif :</w:t>
      </w:r>
    </w:p>
    <w:p w14:paraId="79FB98EF" w14:textId="77777777" w:rsidR="00332F4B" w:rsidRPr="008F5C90" w:rsidRDefault="005C3CCE" w:rsidP="0071424A">
      <w:pPr>
        <w:pBdr>
          <w:top w:val="single" w:sz="4" w:space="1" w:color="auto"/>
          <w:left w:val="single" w:sz="4" w:space="4" w:color="auto"/>
          <w:bottom w:val="single" w:sz="4" w:space="1" w:color="auto"/>
          <w:right w:val="single" w:sz="4" w:space="4" w:color="auto"/>
        </w:pBdr>
        <w:rPr>
          <w:b/>
          <w:szCs w:val="24"/>
        </w:rPr>
      </w:pPr>
      <w:hyperlink r:id="rId15" w:history="1">
        <w:r w:rsidR="00332F4B" w:rsidRPr="00332F4B">
          <w:rPr>
            <w:rStyle w:val="Lienhypertexte"/>
            <w:b/>
            <w:szCs w:val="24"/>
          </w:rPr>
          <w:t>https://www.inrs.fr/services/formation/demultiplication.html</w:t>
        </w:r>
      </w:hyperlink>
    </w:p>
    <w:p w14:paraId="44271324" w14:textId="77777777" w:rsidR="0071424A" w:rsidRPr="008F5C90" w:rsidRDefault="0071424A" w:rsidP="0071424A">
      <w:pPr>
        <w:rPr>
          <w:szCs w:val="24"/>
        </w:rPr>
      </w:pPr>
    </w:p>
    <w:p w14:paraId="2A1631E8"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bCs/>
          <w:szCs w:val="24"/>
        </w:rPr>
        <w:t>3° Points positifs à capitaliser</w:t>
      </w:r>
      <w:r w:rsidRPr="008F5C90">
        <w:rPr>
          <w:szCs w:val="24"/>
        </w:rPr>
        <w:t> </w:t>
      </w:r>
      <w:r w:rsidRPr="008F5C90">
        <w:rPr>
          <w:i/>
          <w:szCs w:val="24"/>
        </w:rPr>
        <w:t>(ce qui a marché, ce qu’il a produit</w:t>
      </w:r>
      <w:r w:rsidRPr="008F5C90">
        <w:rPr>
          <w:szCs w:val="24"/>
        </w:rPr>
        <w:t>)</w:t>
      </w:r>
    </w:p>
    <w:p w14:paraId="3085655A" w14:textId="77777777" w:rsidR="0071424A" w:rsidRDefault="00255A0F" w:rsidP="0071424A">
      <w:pPr>
        <w:pBdr>
          <w:top w:val="single" w:sz="4" w:space="1" w:color="auto"/>
          <w:left w:val="single" w:sz="4" w:space="4" w:color="auto"/>
          <w:bottom w:val="single" w:sz="4" w:space="1" w:color="auto"/>
          <w:right w:val="single" w:sz="4" w:space="4" w:color="auto"/>
        </w:pBdr>
        <w:rPr>
          <w:szCs w:val="24"/>
        </w:rPr>
      </w:pPr>
      <w:r>
        <w:rPr>
          <w:szCs w:val="24"/>
        </w:rPr>
        <w:t xml:space="preserve">- </w:t>
      </w:r>
      <w:r w:rsidR="000C3C05">
        <w:rPr>
          <w:szCs w:val="24"/>
        </w:rPr>
        <w:t xml:space="preserve">Processus d’habilitation et de déploiement des centres de formation opérationnel , et l’habilitation des centres de formation garantit la qualité du dispositif. </w:t>
      </w:r>
    </w:p>
    <w:p w14:paraId="088DFFE5" w14:textId="77777777" w:rsidR="000C3C05" w:rsidRDefault="000C3C05" w:rsidP="0071424A">
      <w:pPr>
        <w:pBdr>
          <w:top w:val="single" w:sz="4" w:space="1" w:color="auto"/>
          <w:left w:val="single" w:sz="4" w:space="4" w:color="auto"/>
          <w:bottom w:val="single" w:sz="4" w:space="1" w:color="auto"/>
          <w:right w:val="single" w:sz="4" w:space="4" w:color="auto"/>
        </w:pBdr>
        <w:rPr>
          <w:szCs w:val="24"/>
        </w:rPr>
      </w:pPr>
      <w:r>
        <w:rPr>
          <w:szCs w:val="24"/>
        </w:rPr>
        <w:t xml:space="preserve">-intégration dans les programmes nationaux de l’Assurance Maladie </w:t>
      </w:r>
    </w:p>
    <w:p w14:paraId="4A9EB1A2" w14:textId="77777777" w:rsidR="000C3C05" w:rsidRDefault="000C3C05" w:rsidP="0071424A">
      <w:pPr>
        <w:pBdr>
          <w:top w:val="single" w:sz="4" w:space="1" w:color="auto"/>
          <w:left w:val="single" w:sz="4" w:space="4" w:color="auto"/>
          <w:bottom w:val="single" w:sz="4" w:space="1" w:color="auto"/>
          <w:right w:val="single" w:sz="4" w:space="4" w:color="auto"/>
        </w:pBdr>
        <w:rPr>
          <w:szCs w:val="24"/>
        </w:rPr>
      </w:pPr>
      <w:r>
        <w:rPr>
          <w:szCs w:val="24"/>
        </w:rPr>
        <w:t>-intégration dans la Convention nationale d’Objectif du secteur permettant l’accompagnement financier de structures sous la condition de formation</w:t>
      </w:r>
    </w:p>
    <w:p w14:paraId="45116B98" w14:textId="77777777" w:rsidR="00255A0F" w:rsidRPr="008F5C90" w:rsidRDefault="00255A0F" w:rsidP="0071424A">
      <w:pPr>
        <w:pBdr>
          <w:top w:val="single" w:sz="4" w:space="1" w:color="auto"/>
          <w:left w:val="single" w:sz="4" w:space="4" w:color="auto"/>
          <w:bottom w:val="single" w:sz="4" w:space="1" w:color="auto"/>
          <w:right w:val="single" w:sz="4" w:space="4" w:color="auto"/>
        </w:pBdr>
        <w:rPr>
          <w:szCs w:val="24"/>
        </w:rPr>
      </w:pPr>
      <w:r>
        <w:rPr>
          <w:szCs w:val="24"/>
        </w:rPr>
        <w:t>-</w:t>
      </w:r>
      <w:r w:rsidR="000C3C05">
        <w:rPr>
          <w:szCs w:val="24"/>
        </w:rPr>
        <w:t xml:space="preserve"> évolution du référentiel de formation pour intégrer des nouvelles modalités de prévention des aidants/soignants et des aidés (Accompagnement à La Mobilité-ALM)</w:t>
      </w:r>
    </w:p>
    <w:p w14:paraId="48597498" w14:textId="77777777" w:rsidR="0071424A" w:rsidRPr="008F5C90" w:rsidRDefault="0071424A" w:rsidP="0071424A">
      <w:pPr>
        <w:rPr>
          <w:szCs w:val="24"/>
        </w:rPr>
      </w:pPr>
    </w:p>
    <w:p w14:paraId="2ADAC4E9"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bCs/>
          <w:szCs w:val="24"/>
        </w:rPr>
        <w:t>4° Points négatifs</w:t>
      </w:r>
      <w:r w:rsidRPr="008F5C90">
        <w:rPr>
          <w:szCs w:val="24"/>
        </w:rPr>
        <w:t> (</w:t>
      </w:r>
      <w:r w:rsidRPr="008F5C90">
        <w:rPr>
          <w:i/>
          <w:szCs w:val="24"/>
        </w:rPr>
        <w:t>ses limites, ce qui n’a pas marché, ce qui a manqué)</w:t>
      </w:r>
    </w:p>
    <w:p w14:paraId="25C0E262" w14:textId="77777777" w:rsidR="0071424A" w:rsidRDefault="00255A0F" w:rsidP="0071424A">
      <w:pPr>
        <w:pBdr>
          <w:top w:val="single" w:sz="4" w:space="1" w:color="auto"/>
          <w:left w:val="single" w:sz="4" w:space="4" w:color="auto"/>
          <w:bottom w:val="single" w:sz="4" w:space="1" w:color="auto"/>
          <w:right w:val="single" w:sz="4" w:space="4" w:color="auto"/>
        </w:pBdr>
        <w:rPr>
          <w:szCs w:val="24"/>
        </w:rPr>
      </w:pPr>
      <w:r>
        <w:rPr>
          <w:szCs w:val="24"/>
        </w:rPr>
        <w:t>Les principaux freins identifiés à la mise en œuvre ou à la pérennité de la dynamique lancée :</w:t>
      </w:r>
    </w:p>
    <w:p w14:paraId="73B984DE" w14:textId="77777777" w:rsidR="00255A0F" w:rsidRDefault="00255A0F" w:rsidP="0071424A">
      <w:pPr>
        <w:pBdr>
          <w:top w:val="single" w:sz="4" w:space="1" w:color="auto"/>
          <w:left w:val="single" w:sz="4" w:space="4" w:color="auto"/>
          <w:bottom w:val="single" w:sz="4" w:space="1" w:color="auto"/>
          <w:right w:val="single" w:sz="4" w:space="4" w:color="auto"/>
        </w:pBdr>
        <w:rPr>
          <w:szCs w:val="24"/>
        </w:rPr>
      </w:pPr>
      <w:r>
        <w:rPr>
          <w:szCs w:val="24"/>
        </w:rPr>
        <w:t>-coût financier direct (prix formation) et indirect (remplacement des salariés en formation/ temps passé sur l’animation de la démarche prévention)</w:t>
      </w:r>
    </w:p>
    <w:p w14:paraId="2F2B2C7D" w14:textId="77777777" w:rsidR="00255A0F" w:rsidRDefault="00255A0F" w:rsidP="0071424A">
      <w:pPr>
        <w:pBdr>
          <w:top w:val="single" w:sz="4" w:space="1" w:color="auto"/>
          <w:left w:val="single" w:sz="4" w:space="4" w:color="auto"/>
          <w:bottom w:val="single" w:sz="4" w:space="1" w:color="auto"/>
          <w:right w:val="single" w:sz="4" w:space="4" w:color="auto"/>
        </w:pBdr>
        <w:rPr>
          <w:szCs w:val="24"/>
        </w:rPr>
      </w:pPr>
      <w:r>
        <w:rPr>
          <w:szCs w:val="24"/>
        </w:rPr>
        <w:t>-de façon très conjoncturelle : la crise sanitaire interdisant ou limitant drastiquement l’organisation des formations du dispositif</w:t>
      </w:r>
    </w:p>
    <w:p w14:paraId="26568A5C" w14:textId="77777777" w:rsidR="00255A0F" w:rsidRPr="008F5C90" w:rsidRDefault="00255A0F" w:rsidP="0071424A">
      <w:pPr>
        <w:pBdr>
          <w:top w:val="single" w:sz="4" w:space="1" w:color="auto"/>
          <w:left w:val="single" w:sz="4" w:space="4" w:color="auto"/>
          <w:bottom w:val="single" w:sz="4" w:space="1" w:color="auto"/>
          <w:right w:val="single" w:sz="4" w:space="4" w:color="auto"/>
        </w:pBdr>
        <w:rPr>
          <w:szCs w:val="24"/>
        </w:rPr>
      </w:pPr>
      <w:r>
        <w:rPr>
          <w:szCs w:val="24"/>
        </w:rPr>
        <w:t>-une animation des Animateurs Prévention et Dirigeants  interentreprises serait un plus pour la pérennité de la démarche</w:t>
      </w:r>
    </w:p>
    <w:p w14:paraId="6106A1D1" w14:textId="77777777" w:rsidR="0071424A" w:rsidRPr="008F5C90" w:rsidRDefault="0071424A" w:rsidP="0071424A">
      <w:pPr>
        <w:rPr>
          <w:szCs w:val="24"/>
        </w:rPr>
      </w:pPr>
    </w:p>
    <w:p w14:paraId="567ACA2F" w14:textId="77777777" w:rsidR="00FD11FA"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 xml:space="preserve">5° Conclusion </w:t>
      </w:r>
    </w:p>
    <w:p w14:paraId="3FAB3F32" w14:textId="0E0534B3" w:rsidR="0083376E" w:rsidRDefault="0083376E" w:rsidP="0071424A">
      <w:pPr>
        <w:pBdr>
          <w:top w:val="single" w:sz="4" w:space="1" w:color="auto"/>
          <w:left w:val="single" w:sz="4" w:space="4" w:color="auto"/>
          <w:bottom w:val="single" w:sz="4" w:space="1" w:color="auto"/>
          <w:right w:val="single" w:sz="4" w:space="4" w:color="auto"/>
        </w:pBdr>
        <w:rPr>
          <w:b/>
          <w:bCs/>
          <w:szCs w:val="24"/>
        </w:rPr>
      </w:pPr>
      <w:r>
        <w:rPr>
          <w:b/>
          <w:bCs/>
          <w:szCs w:val="24"/>
        </w:rPr>
        <w:t>Le dispositif est adapté aux enjeux du secteur et aux besoins de structuration prévention des risques professionnels.</w:t>
      </w:r>
    </w:p>
    <w:p w14:paraId="2A80F654" w14:textId="47CBF14C" w:rsidR="002D4F5F" w:rsidRDefault="002D4F5F" w:rsidP="002D4F5F">
      <w:pPr>
        <w:pBdr>
          <w:top w:val="single" w:sz="4" w:space="1" w:color="auto"/>
          <w:left w:val="single" w:sz="4" w:space="4" w:color="auto"/>
          <w:bottom w:val="single" w:sz="4" w:space="1" w:color="auto"/>
          <w:right w:val="single" w:sz="4" w:space="4" w:color="auto"/>
        </w:pBdr>
        <w:rPr>
          <w:b/>
          <w:bCs/>
          <w:szCs w:val="24"/>
        </w:rPr>
      </w:pPr>
      <w:r>
        <w:rPr>
          <w:b/>
          <w:bCs/>
          <w:szCs w:val="24"/>
        </w:rPr>
        <w:t xml:space="preserve">Un document de référence structure la démarche. </w:t>
      </w:r>
      <w:r>
        <w:rPr>
          <w:b/>
          <w:bCs/>
          <w:szCs w:val="24"/>
        </w:rPr>
        <w:object w:dxaOrig="1536" w:dyaOrig="992" w14:anchorId="75F4C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6" o:title=""/>
          </v:shape>
          <o:OLEObject Type="Embed" ProgID="AcroExch.Document.2017" ShapeID="_x0000_i1025" DrawAspect="Icon" ObjectID="_1692085443" r:id="rId17"/>
        </w:object>
      </w:r>
    </w:p>
    <w:p w14:paraId="78C3646E" w14:textId="77777777" w:rsidR="002D4F5F" w:rsidRDefault="002D4F5F" w:rsidP="0071424A">
      <w:pPr>
        <w:pBdr>
          <w:top w:val="single" w:sz="4" w:space="1" w:color="auto"/>
          <w:left w:val="single" w:sz="4" w:space="4" w:color="auto"/>
          <w:bottom w:val="single" w:sz="4" w:space="1" w:color="auto"/>
          <w:right w:val="single" w:sz="4" w:space="4" w:color="auto"/>
        </w:pBdr>
        <w:rPr>
          <w:b/>
          <w:bCs/>
          <w:szCs w:val="24"/>
        </w:rPr>
      </w:pPr>
    </w:p>
    <w:p w14:paraId="27A43E01" w14:textId="77777777" w:rsidR="0083376E" w:rsidRDefault="0083376E" w:rsidP="0071424A">
      <w:pPr>
        <w:pBdr>
          <w:top w:val="single" w:sz="4" w:space="1" w:color="auto"/>
          <w:left w:val="single" w:sz="4" w:space="4" w:color="auto"/>
          <w:bottom w:val="single" w:sz="4" w:space="1" w:color="auto"/>
          <w:right w:val="single" w:sz="4" w:space="4" w:color="auto"/>
        </w:pBdr>
        <w:rPr>
          <w:b/>
          <w:bCs/>
          <w:szCs w:val="24"/>
        </w:rPr>
      </w:pPr>
      <w:r>
        <w:rPr>
          <w:b/>
          <w:bCs/>
          <w:szCs w:val="24"/>
        </w:rPr>
        <w:t>Après 1,5 ans de crise sanitaire, les centres de formations risquent de se démobiliser. Il est primordial de promouvoir et faciliter le plus largement possible la mise en œuvre du dispositif via un maximum de partenaires et en mettant en œuvre toutes les  modalités (communication, financement, intégration des process cadrant,…)</w:t>
      </w:r>
    </w:p>
    <w:p w14:paraId="62EB61DC" w14:textId="77777777" w:rsidR="00FF5F38" w:rsidRDefault="00FF5F38"/>
    <w:sectPr w:rsidR="00FF5F38">
      <w:headerReference w:type="even" r:id="rId18"/>
      <w:head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9CB2" w14:textId="77777777" w:rsidR="005F5FAB" w:rsidRDefault="005F5FAB" w:rsidP="0071424A">
      <w:pPr>
        <w:spacing w:after="0" w:line="240" w:lineRule="auto"/>
      </w:pPr>
      <w:r>
        <w:separator/>
      </w:r>
    </w:p>
  </w:endnote>
  <w:endnote w:type="continuationSeparator" w:id="0">
    <w:p w14:paraId="63CA6565" w14:textId="77777777" w:rsidR="005F5FAB" w:rsidRDefault="005F5FAB" w:rsidP="007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9347" w14:textId="77777777" w:rsidR="005F5FAB" w:rsidRDefault="005F5FAB" w:rsidP="0071424A">
      <w:pPr>
        <w:spacing w:after="0" w:line="240" w:lineRule="auto"/>
      </w:pPr>
      <w:r>
        <w:separator/>
      </w:r>
    </w:p>
  </w:footnote>
  <w:footnote w:type="continuationSeparator" w:id="0">
    <w:p w14:paraId="2DD1C630" w14:textId="77777777" w:rsidR="005F5FAB" w:rsidRDefault="005F5FAB" w:rsidP="0071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161C" w14:textId="77777777" w:rsidR="00A260E0" w:rsidRDefault="005C3CCE">
    <w:pPr>
      <w:pStyle w:val="En-tte"/>
    </w:pPr>
    <w:r>
      <w:rPr>
        <w:noProof/>
      </w:rPr>
      <w:pict w14:anchorId="5136B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0" o:spid="_x0000_s2052"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6D7C" w14:textId="5B72E313" w:rsidR="00DD4428" w:rsidRDefault="005C3CCE" w:rsidP="00B82607">
    <w:pPr>
      <w:pStyle w:val="En-tte"/>
      <w:tabs>
        <w:tab w:val="clear" w:pos="4536"/>
      </w:tabs>
      <w:ind w:firstLine="1416"/>
    </w:pPr>
    <w:r>
      <w:rPr>
        <w:noProof/>
      </w:rPr>
      <w:pict w14:anchorId="3BA5A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1" o:spid="_x0000_s2053" type="#_x0000_t136" style="position:absolute;left:0;text-align:left;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r w:rsidR="00A260E0">
      <w:t xml:space="preserve">Mission attractivité des métiers de l’autonomie – </w:t>
    </w:r>
    <w:r w:rsidR="002D683E">
      <w:t>CNAM INRS CARSAT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7B31" w14:textId="77777777" w:rsidR="00A260E0" w:rsidRDefault="005C3CCE">
    <w:pPr>
      <w:pStyle w:val="En-tte"/>
    </w:pPr>
    <w:r>
      <w:rPr>
        <w:noProof/>
      </w:rPr>
      <w:pict w14:anchorId="5C922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09" o:spid="_x0000_s2051" type="#_x0000_t136" style="position:absolute;margin-left:0;margin-top:0;width:577.5pt;height:61.85pt;rotation:315;z-index:-251657216;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A"/>
    <w:rsid w:val="000311BF"/>
    <w:rsid w:val="000C3C05"/>
    <w:rsid w:val="00255A0F"/>
    <w:rsid w:val="002A715A"/>
    <w:rsid w:val="002D4F5F"/>
    <w:rsid w:val="002D683E"/>
    <w:rsid w:val="00332F4B"/>
    <w:rsid w:val="0059626C"/>
    <w:rsid w:val="005C3CCE"/>
    <w:rsid w:val="005F5FAB"/>
    <w:rsid w:val="0071424A"/>
    <w:rsid w:val="0083376E"/>
    <w:rsid w:val="008C0E62"/>
    <w:rsid w:val="0092398F"/>
    <w:rsid w:val="00A260E0"/>
    <w:rsid w:val="00A61D1C"/>
    <w:rsid w:val="00B82607"/>
    <w:rsid w:val="00CF35C6"/>
    <w:rsid w:val="00FB74ED"/>
    <w:rsid w:val="00FD11FA"/>
    <w:rsid w:val="00FF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EDD7AC"/>
  <w15:docId w15:val="{30CDBF1C-D525-4FC3-AE61-AA11BA1F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24A"/>
    <w:pPr>
      <w:tabs>
        <w:tab w:val="center" w:pos="4536"/>
        <w:tab w:val="right" w:pos="9072"/>
      </w:tabs>
      <w:spacing w:after="0" w:line="240" w:lineRule="auto"/>
    </w:pPr>
  </w:style>
  <w:style w:type="character" w:customStyle="1" w:styleId="En-tteCar">
    <w:name w:val="En-tête Car"/>
    <w:basedOn w:val="Policepardfaut"/>
    <w:link w:val="En-tte"/>
    <w:uiPriority w:val="99"/>
    <w:rsid w:val="0071424A"/>
  </w:style>
  <w:style w:type="paragraph" w:styleId="Pieddepage">
    <w:name w:val="footer"/>
    <w:basedOn w:val="Normal"/>
    <w:link w:val="PieddepageCar"/>
    <w:uiPriority w:val="99"/>
    <w:unhideWhenUsed/>
    <w:rsid w:val="00714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24A"/>
  </w:style>
  <w:style w:type="paragraph" w:styleId="Textedebulles">
    <w:name w:val="Balloon Text"/>
    <w:basedOn w:val="Normal"/>
    <w:link w:val="TextedebullesCar"/>
    <w:uiPriority w:val="99"/>
    <w:semiHidden/>
    <w:unhideWhenUsed/>
    <w:rsid w:val="00332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F4B"/>
    <w:rPr>
      <w:rFonts w:ascii="Tahoma" w:hAnsi="Tahoma" w:cs="Tahoma"/>
      <w:sz w:val="16"/>
      <w:szCs w:val="16"/>
    </w:rPr>
  </w:style>
  <w:style w:type="character" w:styleId="Lienhypertexte">
    <w:name w:val="Hyperlink"/>
    <w:basedOn w:val="Policepardfaut"/>
    <w:uiPriority w:val="99"/>
    <w:unhideWhenUsed/>
    <w:rsid w:val="00332F4B"/>
    <w:rPr>
      <w:color w:val="0563C1" w:themeColor="hyperlink"/>
      <w:u w:val="single"/>
    </w:rPr>
  </w:style>
  <w:style w:type="paragraph" w:styleId="Paragraphedeliste">
    <w:name w:val="List Paragraph"/>
    <w:basedOn w:val="Normal"/>
    <w:uiPriority w:val="34"/>
    <w:qFormat/>
    <w:rsid w:val="0025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www.inrs.fr/services/formation/demultiplication.html" TargetMode="Externa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507</Words>
  <Characters>2789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TIRIAU, Hélène (DGOS/SOUS-DIR DES RESS HUMAINES SYSTEME SANTE/RH3)</dc:creator>
  <cp:lastModifiedBy>FOUQUET, Nathalie (DGOS/SOUS-DIR DES RESS HUMAINES SYSTEME SANTE/RH3)</cp:lastModifiedBy>
  <cp:revision>2</cp:revision>
  <dcterms:created xsi:type="dcterms:W3CDTF">2021-09-02T08:58:00Z</dcterms:created>
  <dcterms:modified xsi:type="dcterms:W3CDTF">2021-09-02T08:58:00Z</dcterms:modified>
</cp:coreProperties>
</file>