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7"/>
        <w:gridCol w:w="968"/>
        <w:gridCol w:w="1487"/>
      </w:tblGrid>
      <w:tr w:rsidR="001C1DF2" w:rsidRPr="00F20191" w14:paraId="574EA375" w14:textId="77777777" w:rsidTr="00C505F4">
        <w:trPr>
          <w:cantSplit/>
        </w:trPr>
        <w:tc>
          <w:tcPr>
            <w:tcW w:w="3982" w:type="dxa"/>
            <w:gridSpan w:val="3"/>
          </w:tcPr>
          <w:p w14:paraId="48F0C1FB" w14:textId="77777777" w:rsidR="001C1DF2" w:rsidRPr="00F20191" w:rsidRDefault="001C1DF2" w:rsidP="00C505F4">
            <w:pPr>
              <w:pStyle w:val="SNREPUBLIQUE"/>
              <w:rPr>
                <w:szCs w:val="24"/>
              </w:rPr>
            </w:pPr>
            <w:r w:rsidRPr="00F20191">
              <w:rPr>
                <w:szCs w:val="24"/>
              </w:rPr>
              <w:t>RÉPUBLIQUE FRANÇAISE</w:t>
            </w:r>
          </w:p>
        </w:tc>
      </w:tr>
      <w:tr w:rsidR="001C1DF2" w:rsidRPr="00F20191" w14:paraId="6E39BF7A" w14:textId="77777777" w:rsidTr="00C505F4">
        <w:trPr>
          <w:cantSplit/>
          <w:trHeight w:hRule="exact" w:val="113"/>
        </w:trPr>
        <w:tc>
          <w:tcPr>
            <w:tcW w:w="1527" w:type="dxa"/>
          </w:tcPr>
          <w:p w14:paraId="7EE1A135" w14:textId="77777777" w:rsidR="001C1DF2" w:rsidRPr="00F20191" w:rsidRDefault="001C1DF2" w:rsidP="00C505F4"/>
        </w:tc>
        <w:tc>
          <w:tcPr>
            <w:tcW w:w="968" w:type="dxa"/>
            <w:tcBorders>
              <w:bottom w:val="single" w:sz="2" w:space="0" w:color="000000"/>
            </w:tcBorders>
          </w:tcPr>
          <w:p w14:paraId="30F26910" w14:textId="77777777" w:rsidR="001C1DF2" w:rsidRPr="00F20191" w:rsidRDefault="001C1DF2" w:rsidP="00C505F4"/>
        </w:tc>
        <w:tc>
          <w:tcPr>
            <w:tcW w:w="1487" w:type="dxa"/>
          </w:tcPr>
          <w:p w14:paraId="5EB55990" w14:textId="77777777" w:rsidR="001C1DF2" w:rsidRPr="00F20191" w:rsidRDefault="001C1DF2" w:rsidP="00C505F4"/>
        </w:tc>
      </w:tr>
      <w:tr w:rsidR="001C1DF2" w:rsidRPr="00F20191" w14:paraId="2951094C" w14:textId="77777777" w:rsidTr="00C505F4">
        <w:trPr>
          <w:cantSplit/>
        </w:trPr>
        <w:tc>
          <w:tcPr>
            <w:tcW w:w="3982" w:type="dxa"/>
            <w:gridSpan w:val="3"/>
          </w:tcPr>
          <w:p w14:paraId="3873A72D" w14:textId="77777777" w:rsidR="001C1DF2" w:rsidRPr="00F20191" w:rsidRDefault="001C1DF2" w:rsidP="00C505F4">
            <w:pPr>
              <w:pStyle w:val="SNTimbre"/>
            </w:pPr>
            <w:r w:rsidRPr="00F20191">
              <w:t xml:space="preserve">Ministère des Solidarités </w:t>
            </w:r>
          </w:p>
          <w:p w14:paraId="47E14CED" w14:textId="77777777" w:rsidR="001C1DF2" w:rsidRPr="00F20191" w:rsidRDefault="001C1DF2" w:rsidP="00C505F4">
            <w:pPr>
              <w:pStyle w:val="SNTimbre"/>
            </w:pPr>
            <w:r w:rsidRPr="00F20191">
              <w:t>et de la Santé</w:t>
            </w:r>
          </w:p>
        </w:tc>
      </w:tr>
      <w:tr w:rsidR="001C1DF2" w:rsidRPr="00F20191" w14:paraId="74CC6247" w14:textId="77777777" w:rsidTr="00C505F4">
        <w:trPr>
          <w:cantSplit/>
          <w:trHeight w:hRule="exact" w:val="137"/>
        </w:trPr>
        <w:tc>
          <w:tcPr>
            <w:tcW w:w="1527" w:type="dxa"/>
          </w:tcPr>
          <w:p w14:paraId="24DE8359" w14:textId="77777777" w:rsidR="001C1DF2" w:rsidRPr="00F20191" w:rsidRDefault="001C1DF2" w:rsidP="00C505F4"/>
        </w:tc>
        <w:tc>
          <w:tcPr>
            <w:tcW w:w="968" w:type="dxa"/>
            <w:tcBorders>
              <w:bottom w:val="single" w:sz="2" w:space="0" w:color="000000"/>
            </w:tcBorders>
          </w:tcPr>
          <w:p w14:paraId="0761C5E7" w14:textId="77777777" w:rsidR="001C1DF2" w:rsidRPr="00F20191" w:rsidRDefault="001C1DF2" w:rsidP="00C505F4"/>
        </w:tc>
        <w:tc>
          <w:tcPr>
            <w:tcW w:w="1487" w:type="dxa"/>
          </w:tcPr>
          <w:p w14:paraId="4CF1D6DB" w14:textId="77777777" w:rsidR="001C1DF2" w:rsidRPr="00F20191" w:rsidRDefault="001C1DF2" w:rsidP="00C505F4"/>
        </w:tc>
      </w:tr>
    </w:tbl>
    <w:p w14:paraId="5FE32C03" w14:textId="77777777" w:rsidR="001C1DF2" w:rsidRPr="00F20191" w:rsidRDefault="001C1DF2" w:rsidP="001C1DF2">
      <w:pPr>
        <w:rPr>
          <w:b/>
          <w:u w:val="single"/>
        </w:rPr>
      </w:pPr>
    </w:p>
    <w:p w14:paraId="291C506C" w14:textId="77777777" w:rsidR="00D17453" w:rsidRDefault="000D3518" w:rsidP="000D3518">
      <w:pPr>
        <w:tabs>
          <w:tab w:val="left" w:pos="6225"/>
        </w:tabs>
        <w:rPr>
          <w:rFonts w:ascii="Univers LT Std" w:eastAsiaTheme="minorHAnsi" w:hAnsi="Univers LT Std" w:cs="Univers LT Std"/>
          <w:color w:val="000000"/>
          <w:lang w:eastAsia="en-US"/>
        </w:rPr>
      </w:pPr>
      <w:r>
        <w:rPr>
          <w:rFonts w:ascii="Univers LT Std" w:eastAsiaTheme="minorHAnsi" w:hAnsi="Univers LT Std" w:cs="Univers LT Std"/>
          <w:color w:val="000000"/>
          <w:lang w:eastAsia="en-US"/>
        </w:rPr>
        <w:tab/>
      </w:r>
    </w:p>
    <w:p w14:paraId="3E461733" w14:textId="77777777" w:rsidR="00037037" w:rsidRDefault="00F7587D" w:rsidP="00F7587D">
      <w:pPr>
        <w:jc w:val="center"/>
        <w:rPr>
          <w:rFonts w:eastAsiaTheme="minorHAnsi"/>
          <w:b/>
          <w:bCs/>
          <w:color w:val="000000"/>
          <w:u w:val="single"/>
          <w:lang w:eastAsia="en-US"/>
        </w:rPr>
      </w:pPr>
      <w:r w:rsidRPr="00F7587D">
        <w:rPr>
          <w:rFonts w:ascii="Univers LT Std" w:eastAsiaTheme="minorHAnsi" w:hAnsi="Univers LT Std" w:cs="Univers LT Std"/>
          <w:color w:val="000000"/>
          <w:lang w:eastAsia="en-US"/>
        </w:rPr>
        <w:t xml:space="preserve"> </w:t>
      </w:r>
      <w:r w:rsidRPr="001C1DF2">
        <w:rPr>
          <w:rFonts w:eastAsiaTheme="minorHAnsi"/>
          <w:b/>
          <w:bCs/>
          <w:color w:val="000000"/>
          <w:u w:val="single"/>
          <w:lang w:eastAsia="en-US"/>
        </w:rPr>
        <w:t xml:space="preserve">Décret n XXX du XXX </w:t>
      </w:r>
    </w:p>
    <w:p w14:paraId="21F4E2CF" w14:textId="77777777" w:rsidR="00F7587D" w:rsidRPr="001C1DF2" w:rsidRDefault="00F7587D" w:rsidP="00F7587D">
      <w:pPr>
        <w:jc w:val="center"/>
        <w:rPr>
          <w:rFonts w:eastAsiaTheme="minorHAnsi"/>
          <w:b/>
          <w:bCs/>
          <w:color w:val="000000"/>
          <w:u w:val="single"/>
          <w:lang w:eastAsia="en-US"/>
        </w:rPr>
      </w:pPr>
      <w:r w:rsidRPr="001C1DF2">
        <w:rPr>
          <w:rFonts w:eastAsiaTheme="minorHAnsi"/>
          <w:b/>
          <w:bCs/>
          <w:color w:val="000000"/>
          <w:u w:val="single"/>
          <w:lang w:eastAsia="en-US"/>
        </w:rPr>
        <w:t>relatif à la lutte contre la cheni</w:t>
      </w:r>
      <w:r w:rsidR="00806A22" w:rsidRPr="001C1DF2">
        <w:rPr>
          <w:rFonts w:eastAsiaTheme="minorHAnsi"/>
          <w:b/>
          <w:bCs/>
          <w:color w:val="000000"/>
          <w:u w:val="single"/>
          <w:lang w:eastAsia="en-US"/>
        </w:rPr>
        <w:t>lle processionnaire du chêne et</w:t>
      </w:r>
      <w:r w:rsidR="00143176" w:rsidRPr="001C1DF2">
        <w:rPr>
          <w:rFonts w:eastAsiaTheme="minorHAnsi"/>
          <w:b/>
          <w:bCs/>
          <w:color w:val="000000"/>
          <w:u w:val="single"/>
          <w:lang w:eastAsia="en-US"/>
        </w:rPr>
        <w:t xml:space="preserve"> </w:t>
      </w:r>
      <w:r w:rsidRPr="001C1DF2">
        <w:rPr>
          <w:rFonts w:eastAsiaTheme="minorHAnsi"/>
          <w:b/>
          <w:bCs/>
          <w:color w:val="000000"/>
          <w:u w:val="single"/>
          <w:lang w:eastAsia="en-US"/>
        </w:rPr>
        <w:t>la chenille processionnaire du pin</w:t>
      </w:r>
    </w:p>
    <w:p w14:paraId="4AADEC86" w14:textId="77777777" w:rsidR="00F7587D" w:rsidRPr="001C1DF2" w:rsidRDefault="00F7587D" w:rsidP="00F7587D">
      <w:pPr>
        <w:jc w:val="center"/>
        <w:rPr>
          <w:rFonts w:eastAsiaTheme="minorHAnsi"/>
          <w:b/>
          <w:bCs/>
          <w:color w:val="000000"/>
          <w:lang w:eastAsia="en-US"/>
        </w:rPr>
      </w:pPr>
    </w:p>
    <w:p w14:paraId="0D57BBE8" w14:textId="77777777" w:rsidR="00F7587D" w:rsidRPr="001C1DF2" w:rsidRDefault="00F7587D" w:rsidP="007928C0">
      <w:pPr>
        <w:jc w:val="center"/>
      </w:pPr>
      <w:r w:rsidRPr="001C1DF2">
        <w:rPr>
          <w:rFonts w:eastAsiaTheme="minorHAnsi"/>
          <w:b/>
          <w:bCs/>
          <w:color w:val="000000"/>
          <w:lang w:eastAsia="en-US"/>
        </w:rPr>
        <w:t xml:space="preserve"> </w:t>
      </w:r>
      <w:r w:rsidRPr="001C1DF2">
        <w:rPr>
          <w:rFonts w:eastAsiaTheme="minorHAnsi"/>
          <w:color w:val="000000"/>
          <w:lang w:eastAsia="en-US"/>
        </w:rPr>
        <w:t xml:space="preserve">NOR : </w:t>
      </w:r>
      <w:r w:rsidRPr="001C1DF2">
        <w:rPr>
          <w:rFonts w:eastAsiaTheme="minorHAnsi"/>
          <w:i/>
          <w:iCs/>
          <w:color w:val="000000"/>
          <w:lang w:eastAsia="en-US"/>
        </w:rPr>
        <w:t>XXX</w:t>
      </w:r>
    </w:p>
    <w:p w14:paraId="79D063FB" w14:textId="77777777" w:rsidR="00F7587D" w:rsidRDefault="00F7587D" w:rsidP="00F7587D">
      <w:pPr>
        <w:pStyle w:val="Default"/>
      </w:pPr>
    </w:p>
    <w:p w14:paraId="4A9896EF" w14:textId="77777777" w:rsidR="00F7587D" w:rsidRPr="00806A22" w:rsidRDefault="00F7587D" w:rsidP="00F7587D">
      <w:pPr>
        <w:jc w:val="both"/>
        <w:rPr>
          <w:i/>
          <w:iCs/>
        </w:rPr>
      </w:pPr>
      <w:r w:rsidRPr="00806A22">
        <w:rPr>
          <w:b/>
          <w:bCs/>
          <w:i/>
          <w:iCs/>
        </w:rPr>
        <w:t xml:space="preserve">Publics concernés: </w:t>
      </w:r>
      <w:r w:rsidRPr="00806A22">
        <w:rPr>
          <w:i/>
          <w:iCs/>
        </w:rPr>
        <w:t>tous publics, organismes participant à la lutte contre les espèces</w:t>
      </w:r>
      <w:r w:rsidR="00143176" w:rsidRPr="00806A22">
        <w:rPr>
          <w:i/>
          <w:iCs/>
        </w:rPr>
        <w:t xml:space="preserve"> animales et</w:t>
      </w:r>
      <w:r w:rsidRPr="00806A22">
        <w:rPr>
          <w:i/>
          <w:iCs/>
        </w:rPr>
        <w:t xml:space="preserve"> végétales nuisibles à la santé humaine, collectivités territoriales, agences régionales de santé et services de l’Etat. </w:t>
      </w:r>
    </w:p>
    <w:p w14:paraId="5AE32750" w14:textId="77777777" w:rsidR="00F7587D" w:rsidRPr="00806A22" w:rsidRDefault="00F7587D" w:rsidP="00F7587D">
      <w:pPr>
        <w:jc w:val="both"/>
        <w:rPr>
          <w:i/>
          <w:iCs/>
        </w:rPr>
      </w:pPr>
    </w:p>
    <w:p w14:paraId="576815C2" w14:textId="77777777" w:rsidR="00F7587D" w:rsidRPr="00806A22" w:rsidRDefault="00F7587D" w:rsidP="00F7587D">
      <w:pPr>
        <w:jc w:val="both"/>
        <w:rPr>
          <w:i/>
          <w:iCs/>
        </w:rPr>
      </w:pPr>
      <w:r w:rsidRPr="00806A22">
        <w:rPr>
          <w:b/>
          <w:bCs/>
          <w:i/>
          <w:iCs/>
        </w:rPr>
        <w:t xml:space="preserve">Objet: </w:t>
      </w:r>
      <w:r w:rsidR="00156E27">
        <w:rPr>
          <w:i/>
          <w:iCs/>
        </w:rPr>
        <w:t>a</w:t>
      </w:r>
      <w:r w:rsidR="00143176" w:rsidRPr="00806A22">
        <w:rPr>
          <w:i/>
          <w:iCs/>
        </w:rPr>
        <w:t>jout d’</w:t>
      </w:r>
      <w:r w:rsidRPr="00806A22">
        <w:rPr>
          <w:i/>
          <w:iCs/>
        </w:rPr>
        <w:t>espèces</w:t>
      </w:r>
      <w:r w:rsidR="00143176" w:rsidRPr="00806A22">
        <w:rPr>
          <w:i/>
          <w:iCs/>
        </w:rPr>
        <w:t xml:space="preserve"> animales (chenilles process</w:t>
      </w:r>
      <w:r w:rsidR="00806A22" w:rsidRPr="00806A22">
        <w:rPr>
          <w:i/>
          <w:iCs/>
        </w:rPr>
        <w:t>ionnaires du pin et du chêne)</w:t>
      </w:r>
      <w:r w:rsidR="00143176" w:rsidRPr="00806A22">
        <w:rPr>
          <w:i/>
          <w:iCs/>
        </w:rPr>
        <w:t xml:space="preserve"> à la liste des espèces dont la prolifération est nuisible</w:t>
      </w:r>
      <w:r w:rsidRPr="00806A22">
        <w:rPr>
          <w:i/>
          <w:iCs/>
        </w:rPr>
        <w:t xml:space="preserve"> à la santé humain</w:t>
      </w:r>
      <w:r w:rsidR="00143176" w:rsidRPr="00806A22">
        <w:rPr>
          <w:i/>
          <w:iCs/>
        </w:rPr>
        <w:t>e et</w:t>
      </w:r>
      <w:r w:rsidRPr="00806A22">
        <w:rPr>
          <w:i/>
          <w:iCs/>
        </w:rPr>
        <w:t xml:space="preserve"> modalités de prévention et de lutte contre ces espèces. </w:t>
      </w:r>
    </w:p>
    <w:p w14:paraId="4F178A51" w14:textId="77777777" w:rsidR="00F7587D" w:rsidRPr="00806A22" w:rsidRDefault="00F7587D" w:rsidP="00F7587D">
      <w:pPr>
        <w:jc w:val="both"/>
        <w:rPr>
          <w:i/>
          <w:iCs/>
        </w:rPr>
      </w:pPr>
    </w:p>
    <w:p w14:paraId="55223345" w14:textId="77777777" w:rsidR="00F7587D" w:rsidRPr="00806A22" w:rsidRDefault="00F7587D" w:rsidP="00F7587D">
      <w:pPr>
        <w:jc w:val="both"/>
        <w:rPr>
          <w:i/>
          <w:iCs/>
        </w:rPr>
      </w:pPr>
      <w:r w:rsidRPr="00806A22">
        <w:rPr>
          <w:b/>
          <w:bCs/>
          <w:i/>
          <w:iCs/>
        </w:rPr>
        <w:t xml:space="preserve">Entrée en vigueur: </w:t>
      </w:r>
      <w:r w:rsidRPr="00806A22">
        <w:rPr>
          <w:i/>
          <w:iCs/>
        </w:rPr>
        <w:t xml:space="preserve">le texte entre en vigueur le lendemain de sa publication. </w:t>
      </w:r>
    </w:p>
    <w:p w14:paraId="1C15C2D9" w14:textId="77777777" w:rsidR="00F7587D" w:rsidRPr="00806A22" w:rsidRDefault="00F7587D" w:rsidP="00F7587D">
      <w:pPr>
        <w:jc w:val="both"/>
        <w:rPr>
          <w:i/>
          <w:iCs/>
        </w:rPr>
      </w:pPr>
    </w:p>
    <w:p w14:paraId="09E0BE13" w14:textId="54857804" w:rsidR="00143176" w:rsidRPr="00806A22" w:rsidRDefault="00F7587D" w:rsidP="00F7587D">
      <w:pPr>
        <w:jc w:val="both"/>
        <w:rPr>
          <w:i/>
          <w:iCs/>
        </w:rPr>
      </w:pPr>
      <w:r w:rsidRPr="00806A22">
        <w:rPr>
          <w:b/>
          <w:bCs/>
          <w:i/>
          <w:iCs/>
        </w:rPr>
        <w:t xml:space="preserve">Notice: </w:t>
      </w:r>
      <w:r w:rsidRPr="00806A22">
        <w:rPr>
          <w:i/>
          <w:iCs/>
        </w:rPr>
        <w:t>le décret, pris en application de l’article L. 1338-1 du cod</w:t>
      </w:r>
      <w:r w:rsidR="00170F3D">
        <w:rPr>
          <w:i/>
          <w:iCs/>
        </w:rPr>
        <w:t>e de la santé publique, ajoute</w:t>
      </w:r>
      <w:r w:rsidR="00143176" w:rsidRPr="00806A22">
        <w:rPr>
          <w:i/>
          <w:iCs/>
        </w:rPr>
        <w:t xml:space="preserve"> la liste des espèces animale</w:t>
      </w:r>
      <w:r w:rsidRPr="00806A22">
        <w:rPr>
          <w:i/>
          <w:iCs/>
        </w:rPr>
        <w:t xml:space="preserve">s dont la prolifération </w:t>
      </w:r>
      <w:r w:rsidR="00143176" w:rsidRPr="00806A22">
        <w:rPr>
          <w:i/>
          <w:iCs/>
        </w:rPr>
        <w:t>est nuisible à la santé humaine</w:t>
      </w:r>
      <w:r w:rsidR="00170F3D">
        <w:rPr>
          <w:i/>
          <w:iCs/>
        </w:rPr>
        <w:t xml:space="preserve">, à savoir </w:t>
      </w:r>
      <w:r w:rsidR="00143176" w:rsidRPr="00806A22">
        <w:rPr>
          <w:i/>
          <w:iCs/>
        </w:rPr>
        <w:t>la processionnaire du chêne (T</w:t>
      </w:r>
      <w:r w:rsidR="00AA6B8C">
        <w:rPr>
          <w:i/>
          <w:iCs/>
        </w:rPr>
        <w:t>haumetopoea processionea) et la</w:t>
      </w:r>
      <w:r w:rsidR="00143176" w:rsidRPr="00806A22">
        <w:rPr>
          <w:i/>
          <w:iCs/>
        </w:rPr>
        <w:t xml:space="preserve"> processionnaire du pin (Thaumetopoea pityocampa). En effet, ces chenilles produisent des poils urticants qui, par contact direct cutané ou par inhalation, peuvent entraîner des réactions urticariennes ou allergiques chez l’homme. </w:t>
      </w:r>
    </w:p>
    <w:p w14:paraId="0DE89E12" w14:textId="77777777" w:rsidR="00E35826" w:rsidRPr="00806A22" w:rsidRDefault="000D3518" w:rsidP="00F7587D">
      <w:pPr>
        <w:jc w:val="both"/>
        <w:rPr>
          <w:i/>
          <w:iCs/>
        </w:rPr>
      </w:pPr>
      <w:r>
        <w:rPr>
          <w:i/>
          <w:iCs/>
        </w:rPr>
        <w:t>L</w:t>
      </w:r>
      <w:r w:rsidR="00F7587D" w:rsidRPr="00806A22">
        <w:rPr>
          <w:i/>
          <w:iCs/>
        </w:rPr>
        <w:t xml:space="preserve">es mesures </w:t>
      </w:r>
      <w:r w:rsidR="00E35826" w:rsidRPr="00806A22">
        <w:rPr>
          <w:i/>
          <w:iCs/>
        </w:rPr>
        <w:t>susceptibles d’être prises pour prévenir l’apparition de ces espèces ou pour lutter contre leur pr</w:t>
      </w:r>
      <w:r>
        <w:rPr>
          <w:i/>
          <w:iCs/>
        </w:rPr>
        <w:t>olifération sont celles décrites à l’article D. 1338-2</w:t>
      </w:r>
      <w:r w:rsidR="00170F3D">
        <w:rPr>
          <w:i/>
          <w:iCs/>
        </w:rPr>
        <w:t xml:space="preserve"> et suivants</w:t>
      </w:r>
      <w:r w:rsidR="007E3861">
        <w:rPr>
          <w:i/>
          <w:iCs/>
        </w:rPr>
        <w:t xml:space="preserve"> du code de la santé p</w:t>
      </w:r>
      <w:r>
        <w:rPr>
          <w:i/>
          <w:iCs/>
        </w:rPr>
        <w:t>ublique</w:t>
      </w:r>
      <w:r w:rsidR="00E35826" w:rsidRPr="00806A22">
        <w:rPr>
          <w:i/>
          <w:iCs/>
        </w:rPr>
        <w:t>.</w:t>
      </w:r>
    </w:p>
    <w:p w14:paraId="3004D0BD" w14:textId="77777777" w:rsidR="00F7587D" w:rsidRPr="00806A22" w:rsidRDefault="00F7587D" w:rsidP="00F7587D">
      <w:pPr>
        <w:jc w:val="both"/>
        <w:rPr>
          <w:i/>
          <w:iCs/>
        </w:rPr>
      </w:pPr>
    </w:p>
    <w:p w14:paraId="43C89EFA" w14:textId="77777777" w:rsidR="00F7587D" w:rsidRPr="00806A22" w:rsidRDefault="00F7587D" w:rsidP="00F7587D">
      <w:pPr>
        <w:jc w:val="both"/>
        <w:rPr>
          <w:i/>
          <w:iCs/>
        </w:rPr>
      </w:pPr>
      <w:r w:rsidRPr="00806A22">
        <w:rPr>
          <w:b/>
          <w:bCs/>
          <w:i/>
          <w:iCs/>
        </w:rPr>
        <w:t xml:space="preserve">Références: </w:t>
      </w:r>
      <w:r w:rsidRPr="00806A22">
        <w:rPr>
          <w:i/>
          <w:iCs/>
        </w:rPr>
        <w:t>le décret est pris pour l’application de l’article 57 de la loi du 26 janvier 2016 de modernisation de notre système de santé. Le décret, ainsi que les dispositio</w:t>
      </w:r>
      <w:r w:rsidR="00170F3D">
        <w:rPr>
          <w:i/>
          <w:iCs/>
        </w:rPr>
        <w:t xml:space="preserve">ns du code de la santé publique </w:t>
      </w:r>
      <w:r w:rsidRPr="00806A22">
        <w:rPr>
          <w:i/>
          <w:iCs/>
        </w:rPr>
        <w:t>qu’il modifie, peuvent être consultés sur le site Légifrance (</w:t>
      </w:r>
      <w:hyperlink r:id="rId8" w:history="1">
        <w:r w:rsidRPr="00806A22">
          <w:rPr>
            <w:rStyle w:val="Lienhypertexte"/>
            <w:i/>
            <w:iCs/>
          </w:rPr>
          <w:t>http://www.legifrance.gouv.fr</w:t>
        </w:r>
      </w:hyperlink>
      <w:r w:rsidRPr="00806A22">
        <w:rPr>
          <w:i/>
          <w:iCs/>
        </w:rPr>
        <w:t xml:space="preserve">). </w:t>
      </w:r>
    </w:p>
    <w:p w14:paraId="0287BF21" w14:textId="77777777" w:rsidR="00F7587D" w:rsidRPr="00806A22" w:rsidRDefault="00F7587D" w:rsidP="00F7587D">
      <w:pPr>
        <w:jc w:val="both"/>
        <w:rPr>
          <w:i/>
          <w:iCs/>
        </w:rPr>
      </w:pPr>
    </w:p>
    <w:p w14:paraId="2CBC1474" w14:textId="77777777" w:rsidR="00F7587D" w:rsidRPr="00806A22" w:rsidRDefault="00F7587D" w:rsidP="00F7587D">
      <w:pPr>
        <w:jc w:val="both"/>
      </w:pPr>
      <w:r w:rsidRPr="00806A22">
        <w:t xml:space="preserve">Le Premier ministre, </w:t>
      </w:r>
    </w:p>
    <w:p w14:paraId="46697A36" w14:textId="77777777" w:rsidR="00F7587D" w:rsidRPr="00806A22" w:rsidRDefault="00F7587D" w:rsidP="00F7587D">
      <w:pPr>
        <w:jc w:val="both"/>
      </w:pPr>
      <w:r w:rsidRPr="00806A22">
        <w:t xml:space="preserve">Sur le rapport du ministre des solidarités et de la santé, </w:t>
      </w:r>
    </w:p>
    <w:p w14:paraId="578252D1" w14:textId="77777777" w:rsidR="00F7587D" w:rsidRPr="00806A22" w:rsidRDefault="00F7587D" w:rsidP="00F7587D">
      <w:pPr>
        <w:jc w:val="both"/>
      </w:pPr>
      <w:r w:rsidRPr="00806A22">
        <w:t xml:space="preserve">Vu le code de la défense, notamment son article L. 1142-1; </w:t>
      </w:r>
    </w:p>
    <w:p w14:paraId="3DAFF6AA" w14:textId="77777777" w:rsidR="00F7587D" w:rsidRPr="00806A22" w:rsidRDefault="00F7587D" w:rsidP="00F7587D">
      <w:pPr>
        <w:jc w:val="both"/>
      </w:pPr>
      <w:r w:rsidRPr="00806A22">
        <w:t xml:space="preserve">Vu le code de l’environnement, notamment ses articles L. 120-1, L. 172-1 et L. 221-1; </w:t>
      </w:r>
    </w:p>
    <w:p w14:paraId="09F72E75" w14:textId="028957EA" w:rsidR="00F7587D" w:rsidRPr="00806A22" w:rsidRDefault="00F7587D" w:rsidP="00F7587D">
      <w:pPr>
        <w:jc w:val="both"/>
      </w:pPr>
      <w:r w:rsidRPr="00806A22">
        <w:t xml:space="preserve">Vu le code rural et de la pêche maritime, notamment ses articles L. 205-1, R. 205-1 et R. 205-2; </w:t>
      </w:r>
    </w:p>
    <w:p w14:paraId="6ABDEADC" w14:textId="5D09BC15" w:rsidR="00F7587D" w:rsidRPr="00806A22" w:rsidRDefault="00F7587D" w:rsidP="00F7587D">
      <w:pPr>
        <w:jc w:val="both"/>
      </w:pPr>
      <w:r w:rsidRPr="00806A22">
        <w:t>Vu le code de la santé publique, notamment ses articles L. 1338-1</w:t>
      </w:r>
      <w:r w:rsidR="002B680D">
        <w:t xml:space="preserve"> et</w:t>
      </w:r>
      <w:r w:rsidR="008D794D">
        <w:t xml:space="preserve"> </w:t>
      </w:r>
      <w:r w:rsidRPr="00806A22">
        <w:t xml:space="preserve">L. 1338-4; </w:t>
      </w:r>
    </w:p>
    <w:p w14:paraId="12E7E825" w14:textId="550FF486" w:rsidR="00F7587D" w:rsidRPr="00806A22" w:rsidRDefault="00F7587D" w:rsidP="00F7587D">
      <w:pPr>
        <w:jc w:val="both"/>
      </w:pPr>
      <w:r w:rsidRPr="00806A22">
        <w:t xml:space="preserve">Vu le code de la sécurité intérieure, notamment ses articles L. 511-2, L. 522-1, L. 522-2 et R. 511-2; </w:t>
      </w:r>
    </w:p>
    <w:p w14:paraId="65C18E55" w14:textId="7A0C7C55" w:rsidR="00F7587D" w:rsidRPr="00806A22" w:rsidRDefault="00F7587D" w:rsidP="00F7587D">
      <w:pPr>
        <w:jc w:val="both"/>
      </w:pPr>
      <w:r w:rsidRPr="00806A22">
        <w:t>Vu le décret 2017-645 du 26 avril 2017 relatif à la lutte contre l’ambroisie à feuilles d’armoise, l’ambroisie trifi</w:t>
      </w:r>
      <w:r w:rsidR="00CE106D">
        <w:t>de et l’ambroisie à épis lisses</w:t>
      </w:r>
      <w:r w:rsidRPr="00806A22">
        <w:t>;</w:t>
      </w:r>
    </w:p>
    <w:p w14:paraId="4D7E4A3D" w14:textId="4FF105B1" w:rsidR="00F7587D" w:rsidRPr="00B4025B" w:rsidRDefault="00F7587D" w:rsidP="00F7587D">
      <w:pPr>
        <w:jc w:val="both"/>
      </w:pPr>
      <w:r w:rsidRPr="00B4025B">
        <w:t>Vu l’avis du Conseil national de protect</w:t>
      </w:r>
      <w:r w:rsidR="00CE106D">
        <w:t xml:space="preserve">ion de la nature en date du 28 septembre 2021 </w:t>
      </w:r>
      <w:r w:rsidRPr="00B4025B">
        <w:t xml:space="preserve">; </w:t>
      </w:r>
    </w:p>
    <w:p w14:paraId="00F2ED91" w14:textId="553597EC" w:rsidR="00F7587D" w:rsidRPr="00B4025B" w:rsidRDefault="00F7587D" w:rsidP="00F7587D">
      <w:pPr>
        <w:jc w:val="both"/>
      </w:pPr>
      <w:r w:rsidRPr="00B4025B">
        <w:lastRenderedPageBreak/>
        <w:t xml:space="preserve">Vu l’avis du Conseil national d’orientation de la politique sanitaire animale et végétale en date du </w:t>
      </w:r>
      <w:r w:rsidR="00CE106D">
        <w:t>20 octobre 2021</w:t>
      </w:r>
      <w:r w:rsidRPr="00B4025B">
        <w:t xml:space="preserve">; </w:t>
      </w:r>
    </w:p>
    <w:p w14:paraId="02907A45" w14:textId="47C65BE3" w:rsidR="00F7587D" w:rsidRPr="00B4025B" w:rsidRDefault="00F7587D" w:rsidP="00F7587D">
      <w:pPr>
        <w:jc w:val="both"/>
      </w:pPr>
      <w:r w:rsidRPr="00B4025B">
        <w:t xml:space="preserve">Vu l’avis du Haut Conseil de la santé publique en date du XXXXXX; </w:t>
      </w:r>
    </w:p>
    <w:p w14:paraId="7BAF4B15" w14:textId="23865DE9" w:rsidR="00F7587D" w:rsidRPr="00B4025B" w:rsidRDefault="00F7587D" w:rsidP="00F7587D">
      <w:pPr>
        <w:jc w:val="both"/>
      </w:pPr>
      <w:r w:rsidRPr="00B4025B">
        <w:t>Vu l’avis du Conseil national de l’évaluation des normes en date du XXXXX</w:t>
      </w:r>
      <w:bookmarkStart w:id="0" w:name="_GoBack"/>
      <w:bookmarkEnd w:id="0"/>
      <w:r w:rsidRPr="00B4025B">
        <w:t xml:space="preserve">; </w:t>
      </w:r>
    </w:p>
    <w:p w14:paraId="0EE05BCE" w14:textId="21E5449B" w:rsidR="00F7587D" w:rsidRPr="00806A22" w:rsidRDefault="00F7587D" w:rsidP="00F7587D">
      <w:pPr>
        <w:jc w:val="both"/>
      </w:pPr>
      <w:r w:rsidRPr="00B4025B">
        <w:t xml:space="preserve">Vu les observations formulées lors de la consultation du public réalisée du XXXXX au XXXXX, en application de l’article </w:t>
      </w:r>
      <w:r w:rsidR="00CE106D" w:rsidRPr="00CE106D">
        <w:t>L. 123-19-1</w:t>
      </w:r>
      <w:r w:rsidRPr="00B4025B">
        <w:t xml:space="preserve"> du code de l’environnement;</w:t>
      </w:r>
      <w:r w:rsidRPr="00806A22">
        <w:t xml:space="preserve"> </w:t>
      </w:r>
    </w:p>
    <w:p w14:paraId="502E99AB" w14:textId="77777777" w:rsidR="00806A22" w:rsidRDefault="00806A22" w:rsidP="00F7587D">
      <w:pPr>
        <w:jc w:val="both"/>
        <w:rPr>
          <w:b/>
        </w:rPr>
      </w:pPr>
    </w:p>
    <w:p w14:paraId="26CA18ED" w14:textId="77777777" w:rsidR="00D17453" w:rsidRPr="00D17453" w:rsidRDefault="00D17453" w:rsidP="00D17453">
      <w:pPr>
        <w:ind w:firstLine="708"/>
        <w:jc w:val="both"/>
      </w:pPr>
      <w:r w:rsidRPr="00D17453">
        <w:t>Décrète :</w:t>
      </w:r>
    </w:p>
    <w:p w14:paraId="322B13D7" w14:textId="77777777" w:rsidR="00F7587D" w:rsidRPr="00A0226E" w:rsidRDefault="00F7587D" w:rsidP="00F7587D">
      <w:pPr>
        <w:jc w:val="both"/>
      </w:pPr>
    </w:p>
    <w:p w14:paraId="39A4ED7B" w14:textId="21AC654D" w:rsidR="00037037" w:rsidRDefault="00D17453" w:rsidP="008D794D">
      <w:pPr>
        <w:jc w:val="center"/>
        <w:rPr>
          <w:b/>
        </w:rPr>
      </w:pPr>
      <w:r>
        <w:rPr>
          <w:b/>
        </w:rPr>
        <w:t>Art</w:t>
      </w:r>
      <w:r w:rsidR="00037037">
        <w:rPr>
          <w:b/>
        </w:rPr>
        <w:t>icle</w:t>
      </w:r>
      <w:r w:rsidR="00F7587D" w:rsidRPr="0089708C">
        <w:rPr>
          <w:b/>
        </w:rPr>
        <w:t xml:space="preserve"> 1</w:t>
      </w:r>
      <w:r w:rsidR="00F7587D" w:rsidRPr="0089708C">
        <w:rPr>
          <w:b/>
          <w:vertAlign w:val="superscript"/>
        </w:rPr>
        <w:t>er</w:t>
      </w:r>
    </w:p>
    <w:p w14:paraId="07376160" w14:textId="77777777" w:rsidR="00037037" w:rsidRDefault="00037037" w:rsidP="001326F2">
      <w:pPr>
        <w:jc w:val="both"/>
        <w:rPr>
          <w:b/>
        </w:rPr>
      </w:pPr>
    </w:p>
    <w:p w14:paraId="729F639B" w14:textId="6DB6F8A3" w:rsidR="00F7587D" w:rsidRPr="00D17453" w:rsidRDefault="00F7587D" w:rsidP="001326F2">
      <w:pPr>
        <w:jc w:val="both"/>
        <w:rPr>
          <w:b/>
        </w:rPr>
      </w:pPr>
      <w:r>
        <w:t>L’article D. 1338-1 du Code de la santé publique est ainsi complété</w:t>
      </w:r>
      <w:r w:rsidRPr="00A0226E">
        <w:t>:</w:t>
      </w:r>
    </w:p>
    <w:p w14:paraId="67BD394D" w14:textId="77777777" w:rsidR="00F7587D" w:rsidRPr="00A0226E" w:rsidRDefault="00F7587D" w:rsidP="001326F2">
      <w:pPr>
        <w:jc w:val="both"/>
      </w:pPr>
    </w:p>
    <w:p w14:paraId="614C32E3" w14:textId="77777777" w:rsidR="00F7587D" w:rsidRDefault="00F7587D" w:rsidP="001326F2">
      <w:pPr>
        <w:jc w:val="both"/>
      </w:pPr>
      <w:r>
        <w:t>« 4</w:t>
      </w:r>
      <w:r w:rsidRPr="00A0226E">
        <w:t xml:space="preserve">° </w:t>
      </w:r>
      <w:r>
        <w:t>L</w:t>
      </w:r>
      <w:r w:rsidR="008C4297">
        <w:t>a processionnaire du chêne (</w:t>
      </w:r>
      <w:r w:rsidR="008C4297" w:rsidRPr="008C4297">
        <w:rPr>
          <w:i/>
        </w:rPr>
        <w:t>Thaumetopoea processionea L.</w:t>
      </w:r>
      <w:r w:rsidRPr="00A0226E">
        <w:t>) ;</w:t>
      </w:r>
    </w:p>
    <w:p w14:paraId="4349083B" w14:textId="77777777" w:rsidR="008C4297" w:rsidRDefault="008C4297" w:rsidP="001326F2">
      <w:pPr>
        <w:jc w:val="both"/>
      </w:pPr>
    </w:p>
    <w:p w14:paraId="63CD8A23" w14:textId="77777777" w:rsidR="008C4297" w:rsidRDefault="008C4297" w:rsidP="001326F2">
      <w:pPr>
        <w:jc w:val="both"/>
      </w:pPr>
      <w:r>
        <w:t>« 5</w:t>
      </w:r>
      <w:r w:rsidRPr="00A0226E">
        <w:t xml:space="preserve">° </w:t>
      </w:r>
      <w:r>
        <w:t>La processionnaire du pin (</w:t>
      </w:r>
      <w:r w:rsidRPr="008C4297">
        <w:rPr>
          <w:i/>
        </w:rPr>
        <w:t>Thaumetopoea pityocampa L.</w:t>
      </w:r>
      <w:r w:rsidRPr="00A0226E">
        <w:t>) ;</w:t>
      </w:r>
    </w:p>
    <w:p w14:paraId="5F393E39" w14:textId="77777777" w:rsidR="00F7587D" w:rsidRPr="00A0226E" w:rsidRDefault="00F7587D" w:rsidP="001326F2">
      <w:pPr>
        <w:jc w:val="both"/>
      </w:pPr>
    </w:p>
    <w:p w14:paraId="321504EC" w14:textId="44B5ED72" w:rsidR="00037037" w:rsidRDefault="00D17453" w:rsidP="008D794D">
      <w:pPr>
        <w:jc w:val="center"/>
      </w:pPr>
      <w:r w:rsidRPr="00D17453">
        <w:rPr>
          <w:b/>
        </w:rPr>
        <w:t>Art</w:t>
      </w:r>
      <w:r w:rsidR="00037037">
        <w:rPr>
          <w:b/>
        </w:rPr>
        <w:t>icle</w:t>
      </w:r>
      <w:r w:rsidRPr="00D17453">
        <w:rPr>
          <w:b/>
        </w:rPr>
        <w:t xml:space="preserve"> 2</w:t>
      </w:r>
    </w:p>
    <w:p w14:paraId="6B6AA102" w14:textId="77777777" w:rsidR="00037037" w:rsidRDefault="00037037" w:rsidP="001326F2">
      <w:pPr>
        <w:jc w:val="both"/>
      </w:pPr>
    </w:p>
    <w:p w14:paraId="74AFAA4E" w14:textId="1263172B" w:rsidR="00CA7B3D" w:rsidRDefault="00E35826" w:rsidP="001326F2">
      <w:pPr>
        <w:jc w:val="both"/>
      </w:pPr>
      <w:r w:rsidRPr="00E35826">
        <w:t xml:space="preserve">La ministre de </w:t>
      </w:r>
      <w:r w:rsidR="00014391">
        <w:t>la t</w:t>
      </w:r>
      <w:r w:rsidR="001326F2">
        <w:t xml:space="preserve">ransition écologique, </w:t>
      </w:r>
      <w:r w:rsidR="00AC1124">
        <w:t>le garde des S</w:t>
      </w:r>
      <w:r w:rsidR="00AC1124" w:rsidRPr="00E35826">
        <w:t>ceaux, ministre de la justice</w:t>
      </w:r>
      <w:r w:rsidR="00AC1124">
        <w:t xml:space="preserve">, </w:t>
      </w:r>
      <w:r w:rsidR="001326F2">
        <w:t>le</w:t>
      </w:r>
      <w:r w:rsidRPr="00E35826">
        <w:t xml:space="preserve"> ministre des</w:t>
      </w:r>
      <w:r w:rsidR="00014391">
        <w:t xml:space="preserve"> solidarités et de la s</w:t>
      </w:r>
      <w:r w:rsidR="001326F2">
        <w:t>anté</w:t>
      </w:r>
      <w:r w:rsidRPr="00E35826">
        <w:t xml:space="preserve"> et </w:t>
      </w:r>
      <w:r w:rsidR="00014391">
        <w:t>le ministre de l’a</w:t>
      </w:r>
      <w:r w:rsidR="001326F2">
        <w:t>griculture et de l’</w:t>
      </w:r>
      <w:r w:rsidR="00014391">
        <w:t>a</w:t>
      </w:r>
      <w:r w:rsidR="001326F2">
        <w:t>limentation</w:t>
      </w:r>
      <w:r w:rsidRPr="00E35826">
        <w:t xml:space="preserve"> sont chargés, chacun en ce qui le concerne, de l’exécution du présent décret, qui sera publié au </w:t>
      </w:r>
      <w:r w:rsidRPr="008D794D">
        <w:rPr>
          <w:i/>
        </w:rPr>
        <w:t>Journal officiel</w:t>
      </w:r>
      <w:r w:rsidRPr="00E35826">
        <w:t xml:space="preserve"> de la République française. </w:t>
      </w:r>
    </w:p>
    <w:p w14:paraId="122577C9" w14:textId="77777777" w:rsidR="00CA7B3D" w:rsidRDefault="00CA7B3D"/>
    <w:p w14:paraId="427120D4" w14:textId="77777777" w:rsidR="009C6976" w:rsidRDefault="009C6976">
      <w:r>
        <w:t xml:space="preserve">Fait le </w:t>
      </w:r>
    </w:p>
    <w:p w14:paraId="09053172" w14:textId="01C657B7" w:rsidR="009C6976" w:rsidRDefault="009C6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JEAN CASTEX</w:t>
      </w:r>
    </w:p>
    <w:p w14:paraId="2746A062" w14:textId="77777777" w:rsidR="009C6976" w:rsidRDefault="00014391">
      <w:r>
        <w:t>Par le P</w:t>
      </w:r>
      <w:r w:rsidR="009C6976">
        <w:t>remier ministre :</w:t>
      </w:r>
    </w:p>
    <w:p w14:paraId="5B838B65" w14:textId="77777777" w:rsidR="006E20E5" w:rsidRDefault="006E20E5"/>
    <w:p w14:paraId="60877995" w14:textId="77777777" w:rsidR="006E20E5" w:rsidRDefault="006E20E5"/>
    <w:p w14:paraId="48502571" w14:textId="77777777" w:rsidR="007D6139" w:rsidRDefault="009C6976" w:rsidP="00CA7B3D">
      <w:r>
        <w:t>Le ministre des solidarités</w:t>
      </w:r>
    </w:p>
    <w:p w14:paraId="45B9317F" w14:textId="77777777" w:rsidR="009C6976" w:rsidRDefault="009C6976" w:rsidP="00CA7B3D">
      <w:r>
        <w:t>et de la santé,</w:t>
      </w:r>
    </w:p>
    <w:p w14:paraId="6CACBFFB" w14:textId="77777777" w:rsidR="009C6976" w:rsidRDefault="009C6976" w:rsidP="00CA7B3D">
      <w:r>
        <w:t>OLIVIER VÉRAN</w:t>
      </w:r>
    </w:p>
    <w:p w14:paraId="3A4E0123" w14:textId="77777777" w:rsidR="009C6976" w:rsidRDefault="009C6976" w:rsidP="00CA7B3D"/>
    <w:p w14:paraId="5D8E666B" w14:textId="77777777" w:rsidR="009C6976" w:rsidRDefault="009C6976" w:rsidP="00CA7B3D"/>
    <w:p w14:paraId="3AFBF462" w14:textId="77777777" w:rsidR="009C6976" w:rsidRDefault="009C6976" w:rsidP="009C697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6976">
        <w:t xml:space="preserve">La ministre de </w:t>
      </w:r>
      <w:r>
        <w:t>la</w:t>
      </w:r>
    </w:p>
    <w:p w14:paraId="6EDB2173" w14:textId="77777777" w:rsidR="009C6976" w:rsidRDefault="00014391" w:rsidP="009C6976">
      <w:pPr>
        <w:jc w:val="right"/>
      </w:pPr>
      <w:r>
        <w:t>transition é</w:t>
      </w:r>
      <w:r w:rsidR="009C6976">
        <w:t>cologique,</w:t>
      </w:r>
      <w:r w:rsidR="009C6976" w:rsidRPr="009C6976">
        <w:t xml:space="preserve"> </w:t>
      </w:r>
    </w:p>
    <w:p w14:paraId="679F2E6A" w14:textId="77777777" w:rsidR="009C6976" w:rsidRDefault="009C6976" w:rsidP="009C6976">
      <w:pPr>
        <w:jc w:val="right"/>
      </w:pPr>
      <w:r>
        <w:t>BARBARA POMPILI</w:t>
      </w:r>
    </w:p>
    <w:p w14:paraId="60C4793D" w14:textId="77777777" w:rsidR="009C6976" w:rsidRDefault="009C6976" w:rsidP="009C6976"/>
    <w:p w14:paraId="6C6C061A" w14:textId="77777777" w:rsidR="009C6976" w:rsidRDefault="009C6976" w:rsidP="009C6976">
      <w:r>
        <w:t>Le garde des sceaux,</w:t>
      </w:r>
    </w:p>
    <w:p w14:paraId="073317B3" w14:textId="77777777" w:rsidR="009C6976" w:rsidRDefault="009C6976" w:rsidP="009C6976">
      <w:r>
        <w:t>ministre de la justice,</w:t>
      </w:r>
    </w:p>
    <w:p w14:paraId="4E20D211" w14:textId="77777777" w:rsidR="009C6976" w:rsidRDefault="009C6976" w:rsidP="009C6976">
      <w:r>
        <w:t>ERIC DUPOND-MORETTI</w:t>
      </w:r>
    </w:p>
    <w:p w14:paraId="5C27BE2D" w14:textId="77777777" w:rsidR="009C6976" w:rsidRDefault="009C6976" w:rsidP="009C6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B7A2AE" w14:textId="77777777" w:rsidR="009C6976" w:rsidRDefault="009C6976" w:rsidP="009C6976">
      <w:pPr>
        <w:jc w:val="right"/>
      </w:pPr>
      <w:r>
        <w:tab/>
        <w:t>Le ministre de</w:t>
      </w:r>
    </w:p>
    <w:p w14:paraId="4EE8E159" w14:textId="77777777" w:rsidR="009C6976" w:rsidRDefault="00014391" w:rsidP="009C6976">
      <w:pPr>
        <w:jc w:val="right"/>
      </w:pPr>
      <w:r>
        <w:t>l’agriculture et de l’a</w:t>
      </w:r>
      <w:r w:rsidR="009C6976">
        <w:t>limentation,</w:t>
      </w:r>
    </w:p>
    <w:p w14:paraId="571A0226" w14:textId="77777777" w:rsidR="009C6976" w:rsidRDefault="009C6976" w:rsidP="009C6976">
      <w:pPr>
        <w:jc w:val="right"/>
      </w:pPr>
      <w:r>
        <w:t>JULIEN DENORMANDIE</w:t>
      </w:r>
    </w:p>
    <w:sectPr w:rsidR="009C6976" w:rsidSect="00806A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1D28D" w14:textId="77777777" w:rsidR="00E9573F" w:rsidRDefault="00E9573F" w:rsidP="00E11758">
      <w:r>
        <w:separator/>
      </w:r>
    </w:p>
  </w:endnote>
  <w:endnote w:type="continuationSeparator" w:id="0">
    <w:p w14:paraId="3D559D7E" w14:textId="77777777" w:rsidR="00E9573F" w:rsidRDefault="00E9573F" w:rsidP="00E1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LT Std">
    <w:altName w:val="Time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D153B" w14:textId="77777777" w:rsidR="00E11758" w:rsidRDefault="00E117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843B1" w14:textId="77777777" w:rsidR="00E11758" w:rsidRDefault="00E1175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5782B" w14:textId="77777777" w:rsidR="00E11758" w:rsidRDefault="00E117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4F68B" w14:textId="77777777" w:rsidR="00E9573F" w:rsidRDefault="00E9573F" w:rsidP="00E11758">
      <w:r>
        <w:separator/>
      </w:r>
    </w:p>
  </w:footnote>
  <w:footnote w:type="continuationSeparator" w:id="0">
    <w:p w14:paraId="26C8099E" w14:textId="77777777" w:rsidR="00E9573F" w:rsidRDefault="00E9573F" w:rsidP="00E11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F6424" w14:textId="77777777" w:rsidR="00E11758" w:rsidRDefault="00CE106D">
    <w:pPr>
      <w:pStyle w:val="En-tte"/>
    </w:pPr>
    <w:r>
      <w:rPr>
        <w:noProof/>
      </w:rPr>
      <w:pict w14:anchorId="09024C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83829" o:spid="_x0000_s2050" type="#_x0000_t136" style="position:absolute;margin-left:0;margin-top:0;width:487.2pt;height:162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D4BF2" w14:textId="77777777" w:rsidR="00E11758" w:rsidRDefault="00CE106D">
    <w:pPr>
      <w:pStyle w:val="En-tte"/>
    </w:pPr>
    <w:r>
      <w:rPr>
        <w:noProof/>
      </w:rPr>
      <w:pict w14:anchorId="384EF1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83830" o:spid="_x0000_s2051" type="#_x0000_t136" style="position:absolute;margin-left:0;margin-top:0;width:487.2pt;height:162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8EAB5" w14:textId="77777777" w:rsidR="00E11758" w:rsidRDefault="00CE106D">
    <w:pPr>
      <w:pStyle w:val="En-tte"/>
    </w:pPr>
    <w:r>
      <w:rPr>
        <w:noProof/>
      </w:rPr>
      <w:pict w14:anchorId="478813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83828" o:spid="_x0000_s2049" type="#_x0000_t136" style="position:absolute;margin-left:0;margin-top:0;width:487.2pt;height:162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33FB"/>
    <w:multiLevelType w:val="hybridMultilevel"/>
    <w:tmpl w:val="F06C22BE"/>
    <w:lvl w:ilvl="0" w:tplc="B6F2F4C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7D"/>
    <w:rsid w:val="00014391"/>
    <w:rsid w:val="00037037"/>
    <w:rsid w:val="000A2205"/>
    <w:rsid w:val="000D3518"/>
    <w:rsid w:val="00106553"/>
    <w:rsid w:val="001326F2"/>
    <w:rsid w:val="00143176"/>
    <w:rsid w:val="00156E27"/>
    <w:rsid w:val="00170F3D"/>
    <w:rsid w:val="001C1DF2"/>
    <w:rsid w:val="002A463E"/>
    <w:rsid w:val="002B680D"/>
    <w:rsid w:val="0048583A"/>
    <w:rsid w:val="0050400C"/>
    <w:rsid w:val="0069182F"/>
    <w:rsid w:val="006C0B47"/>
    <w:rsid w:val="006E20E5"/>
    <w:rsid w:val="007253CC"/>
    <w:rsid w:val="007928C0"/>
    <w:rsid w:val="007E3861"/>
    <w:rsid w:val="00806A22"/>
    <w:rsid w:val="008C4297"/>
    <w:rsid w:val="008D794D"/>
    <w:rsid w:val="009C6976"/>
    <w:rsid w:val="009E397A"/>
    <w:rsid w:val="009F7202"/>
    <w:rsid w:val="00AA6B8C"/>
    <w:rsid w:val="00AC1124"/>
    <w:rsid w:val="00B4025B"/>
    <w:rsid w:val="00B544F3"/>
    <w:rsid w:val="00C55944"/>
    <w:rsid w:val="00CA7B3D"/>
    <w:rsid w:val="00CE106D"/>
    <w:rsid w:val="00D17453"/>
    <w:rsid w:val="00D2373D"/>
    <w:rsid w:val="00D74E2D"/>
    <w:rsid w:val="00DD6E3C"/>
    <w:rsid w:val="00E045CA"/>
    <w:rsid w:val="00E11758"/>
    <w:rsid w:val="00E21D99"/>
    <w:rsid w:val="00E35826"/>
    <w:rsid w:val="00E9573F"/>
    <w:rsid w:val="00F61663"/>
    <w:rsid w:val="00F7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807A6B"/>
  <w15:chartTrackingRefBased/>
  <w15:docId w15:val="{A3FD58B9-6DB8-4A98-B999-414964A5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rojet normalisé"/>
    <w:qFormat/>
    <w:rsid w:val="00F75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7587D"/>
    <w:pPr>
      <w:jc w:val="center"/>
    </w:pPr>
    <w:rPr>
      <w:b/>
      <w:bCs/>
      <w:sz w:val="28"/>
      <w:szCs w:val="20"/>
    </w:rPr>
  </w:style>
  <w:style w:type="character" w:customStyle="1" w:styleId="TitreCar">
    <w:name w:val="Titre Car"/>
    <w:basedOn w:val="Policepardfaut"/>
    <w:link w:val="Titre"/>
    <w:rsid w:val="00F7587D"/>
    <w:rPr>
      <w:rFonts w:ascii="Times New Roman" w:eastAsia="Times New Roman" w:hAnsi="Times New Roman" w:cs="Times New Roman"/>
      <w:b/>
      <w:bCs/>
      <w:sz w:val="28"/>
      <w:szCs w:val="20"/>
      <w:lang w:eastAsia="fr-FR"/>
    </w:rPr>
  </w:style>
  <w:style w:type="paragraph" w:styleId="En-tte">
    <w:name w:val="header"/>
    <w:basedOn w:val="Normal"/>
    <w:link w:val="En-tteCar"/>
    <w:rsid w:val="00F758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7587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F7587D"/>
    <w:pPr>
      <w:autoSpaceDE w:val="0"/>
      <w:autoSpaceDN w:val="0"/>
      <w:adjustRightInd w:val="0"/>
      <w:spacing w:after="0" w:line="240" w:lineRule="auto"/>
    </w:pPr>
    <w:rPr>
      <w:rFonts w:ascii="Times LT Std" w:hAnsi="Times LT Std" w:cs="Times LT Std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7587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0400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117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175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REPUBLIQUE">
    <w:name w:val="SNREPUBLIQUE"/>
    <w:basedOn w:val="Normal"/>
    <w:uiPriority w:val="99"/>
    <w:rsid w:val="001C1DF2"/>
    <w:pPr>
      <w:jc w:val="center"/>
    </w:pPr>
    <w:rPr>
      <w:b/>
      <w:bCs/>
      <w:szCs w:val="20"/>
    </w:rPr>
  </w:style>
  <w:style w:type="paragraph" w:customStyle="1" w:styleId="SNTimbre">
    <w:name w:val="SNTimbre"/>
    <w:basedOn w:val="Normal"/>
    <w:link w:val="SNTimbreCar"/>
    <w:autoRedefine/>
    <w:uiPriority w:val="99"/>
    <w:rsid w:val="001C1DF2"/>
    <w:pPr>
      <w:widowControl w:val="0"/>
      <w:suppressAutoHyphens/>
      <w:snapToGrid w:val="0"/>
      <w:spacing w:before="120"/>
      <w:jc w:val="center"/>
    </w:pPr>
  </w:style>
  <w:style w:type="character" w:customStyle="1" w:styleId="SNTimbreCar">
    <w:name w:val="SNTimbre Car"/>
    <w:link w:val="SNTimbre"/>
    <w:uiPriority w:val="99"/>
    <w:locked/>
    <w:rsid w:val="001C1D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0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037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A46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463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463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46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463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F5248-4BE4-429F-B973-DD0D3891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GRATPAIN, Valérian (DGS/EA/EA1)</dc:creator>
  <cp:keywords/>
  <dc:description/>
  <cp:lastModifiedBy>GRATPAIN, Valérian (DGS/EA/EA1)</cp:lastModifiedBy>
  <cp:revision>34</cp:revision>
  <dcterms:created xsi:type="dcterms:W3CDTF">2020-07-21T13:25:00Z</dcterms:created>
  <dcterms:modified xsi:type="dcterms:W3CDTF">2021-11-02T08:48:00Z</dcterms:modified>
</cp:coreProperties>
</file>